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Demo — exercice 2025</w:t>
      </w:r>
    </w:p>
    <w:p>
      <w:pPr>
        <w:jc w:val="center"/>
      </w:pPr>
      <w:r>
        <w:rPr>
          <w:b w:val="0"/>
          <w:i/>
          <w:color w:val="888890"/>
          <w:sz w:val="18"/>
        </w:rPr>
        <w:t>Généré le 26.10.2026 à 06:38</w:t>
      </w:r>
    </w:p>
    <w:p>
      <w:pPr>
        <w:jc w:val="center"/>
      </w:pPr>
      <w:r>
        <w:rPr>
          <w:b w:val="0"/>
          <w:i/>
          <w:color w:val="888890"/>
          <w:sz w:val="18"/>
        </w:rPr>
        <w:t>✏ Brouillon — non soumis sur Blockchain</w:t>
      </w:r>
    </w:p>
    <w:p/>
    <w:p>
      <w:r>
        <w:rPr>
          <w:b/>
          <w:i w:val="0"/>
          <w:color w:val="1F4E78"/>
          <w:sz w:val="26"/>
        </w:rPr>
        <w:t>Synthèse — tendances vs exercice précédent</w:t>
      </w:r>
    </w:p>
    <w:p>
      <w:r>
        <w:rPr>
          <w:b w:val="0"/>
          <w:i/>
          <w:color w:val="888890"/>
          <w:sz w:val="18"/>
        </w:rPr>
        <w:t>Comparaison de l'année 2025 avec l'année 2024.</w:t>
      </w:r>
    </w:p>
    <w:p>
      <w:pPr>
        <w:jc w:val="center"/>
      </w:pPr>
      <w:r>
        <w:drawing>
          <wp:inline xmlns:a="http://schemas.openxmlformats.org/drawingml/2006/main" xmlns:pic="http://schemas.openxmlformats.org/drawingml/2006/picture">
            <wp:extent cx="5760000" cy="188025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760000" cy="1880255"/>
                    </a:xfrm>
                    <a:prstGeom prst="rect"/>
                  </pic:spPr>
                </pic:pic>
              </a:graphicData>
            </a:graphic>
          </wp:inline>
        </w:drawing>
      </w:r>
    </w:p>
    <w:p>
      <w:pPr>
        <w:jc w:val="center"/>
      </w:pPr>
      <w:r>
        <w:rPr>
          <w:b w:val="0"/>
          <w:i/>
          <w:color w:val="888890"/>
          <w:sz w:val="16"/>
        </w:rPr>
        <w:t>Légende — vert vers l'extérieur : amélioration · rouge vers le centre : dégradation · trait gris sur la ligne : stable.</w:t>
      </w:r>
    </w:p>
    <w:tbl>
      <w:tblPr>
        <w:tblW w:type="auto" w:w="0"/>
        <w:jc w:val="center"/>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Pr>
      <w:tblGrid>
        <w:gridCol w:w="2550"/>
        <w:gridCol w:w="2550"/>
        <w:gridCol w:w="2550"/>
        <w:gridCol w:w="2550"/>
      </w:tblGrid>
      <w:tr>
        <w:tc>
          <w:tcPr>
            <w:tcW w:type="dxa" w:w="2550"/>
            <w:shd w:val="clear" w:color="auto" w:fill="1F4E78"/>
            <w:vAlign w:val="center"/>
          </w:tcPr>
          <w:p>
            <w:r/>
            <w:r>
              <w:rPr>
                <w:b/>
                <w:color w:val="FFFFFF"/>
                <w:sz w:val="20"/>
              </w:rPr>
              <w:t>Domaine</w:t>
            </w:r>
          </w:p>
        </w:tc>
        <w:tc>
          <w:tcPr>
            <w:tcW w:type="dxa" w:w="2550"/>
            <w:shd w:val="clear" w:color="auto" w:fill="1F4E78"/>
            <w:vAlign w:val="center"/>
          </w:tcPr>
          <w:p>
            <w:r/>
            <w:r>
              <w:rPr>
                <w:b/>
                <w:color w:val="FFFFFF"/>
                <w:sz w:val="20"/>
              </w:rPr>
              <w:t>↑ Amélioration</w:t>
            </w:r>
          </w:p>
        </w:tc>
        <w:tc>
          <w:tcPr>
            <w:tcW w:type="dxa" w:w="2550"/>
            <w:shd w:val="clear" w:color="auto" w:fill="1F4E78"/>
            <w:vAlign w:val="center"/>
          </w:tcPr>
          <w:p>
            <w:r/>
            <w:r>
              <w:rPr>
                <w:b/>
                <w:color w:val="FFFFFF"/>
                <w:sz w:val="20"/>
              </w:rPr>
              <w:t>→ Stable</w:t>
            </w:r>
          </w:p>
        </w:tc>
        <w:tc>
          <w:tcPr>
            <w:tcW w:type="dxa" w:w="2550"/>
            <w:shd w:val="clear" w:color="auto" w:fill="1F4E78"/>
            <w:vAlign w:val="center"/>
          </w:tcPr>
          <w:p>
            <w:r/>
            <w:r>
              <w:rPr>
                <w:b/>
                <w:color w:val="FFFFFF"/>
                <w:sz w:val="20"/>
              </w:rPr>
              <w:t>↓ Dégradation</w:t>
            </w:r>
          </w:p>
        </w:tc>
      </w:tr>
      <w:tr>
        <w:tc>
          <w:tcPr>
            <w:tcW w:type="dxa" w:w="2550"/>
            <w:shd w:val="clear" w:color="auto" w:fill="FFF4C2"/>
          </w:tcPr>
          <w:p>
            <w:r/>
            <w:r>
              <w:rPr>
                <w:b/>
              </w:rPr>
              <w:t>G — Gouvernance</w:t>
            </w:r>
          </w:p>
        </w:tc>
        <w:tc>
          <w:tcPr>
            <w:tcW w:type="dxa" w:w="2550"/>
          </w:tcPr>
          <w:p>
            <w:pPr>
              <w:jc w:val="center"/>
            </w:pPr>
            <w:r>
              <w:rPr>
                <w:b/>
                <w:color w:val="2E6A37"/>
              </w:rPr>
              <w:t>1</w:t>
            </w:r>
          </w:p>
        </w:tc>
        <w:tc>
          <w:tcPr>
            <w:tcW w:type="dxa" w:w="2550"/>
          </w:tcPr>
          <w:p>
            <w:pPr>
              <w:jc w:val="center"/>
            </w:pPr>
            <w:r>
              <w:t>11</w:t>
            </w:r>
          </w:p>
        </w:tc>
        <w:tc>
          <w:tcPr>
            <w:tcW w:type="dxa" w:w="2550"/>
          </w:tcPr>
          <w:p>
            <w:pPr>
              <w:jc w:val="center"/>
            </w:pPr>
            <w:r>
              <w:rPr>
                <w:b/>
                <w:color w:val="823535"/>
              </w:rPr>
              <w:t>0</w:t>
            </w:r>
          </w:p>
        </w:tc>
      </w:tr>
      <w:tr>
        <w:tc>
          <w:tcPr>
            <w:tcW w:type="dxa" w:w="2550"/>
            <w:shd w:val="clear" w:color="auto" w:fill="CFE0F5"/>
          </w:tcPr>
          <w:p>
            <w:r/>
            <w:r>
              <w:rPr>
                <w:b/>
              </w:rPr>
              <w:t>S — Social</w:t>
            </w:r>
          </w:p>
        </w:tc>
        <w:tc>
          <w:tcPr>
            <w:tcW w:type="dxa" w:w="2550"/>
          </w:tcPr>
          <w:p>
            <w:pPr>
              <w:jc w:val="center"/>
            </w:pPr>
            <w:r>
              <w:rPr>
                <w:b/>
                <w:color w:val="2E6A37"/>
              </w:rPr>
              <w:t>4</w:t>
            </w:r>
          </w:p>
        </w:tc>
        <w:tc>
          <w:tcPr>
            <w:tcW w:type="dxa" w:w="2550"/>
          </w:tcPr>
          <w:p>
            <w:pPr>
              <w:jc w:val="center"/>
            </w:pPr>
            <w:r>
              <w:t>1</w:t>
            </w:r>
          </w:p>
        </w:tc>
        <w:tc>
          <w:tcPr>
            <w:tcW w:type="dxa" w:w="2550"/>
          </w:tcPr>
          <w:p>
            <w:pPr>
              <w:jc w:val="center"/>
            </w:pPr>
            <w:r>
              <w:rPr>
                <w:b/>
                <w:color w:val="823535"/>
              </w:rPr>
              <w:t>2</w:t>
            </w:r>
          </w:p>
        </w:tc>
      </w:tr>
      <w:tr>
        <w:tc>
          <w:tcPr>
            <w:tcW w:type="dxa" w:w="2550"/>
            <w:shd w:val="clear" w:color="auto" w:fill="CFE8D4"/>
          </w:tcPr>
          <w:p>
            <w:r/>
            <w:r>
              <w:rPr>
                <w:b/>
              </w:rPr>
              <w:t>E — Environnement</w:t>
            </w:r>
          </w:p>
        </w:tc>
        <w:tc>
          <w:tcPr>
            <w:tcW w:type="dxa" w:w="2550"/>
          </w:tcPr>
          <w:p>
            <w:pPr>
              <w:jc w:val="center"/>
            </w:pPr>
            <w:r>
              <w:rPr>
                <w:b/>
                <w:color w:val="2E6A37"/>
              </w:rPr>
              <w:t>0</w:t>
            </w:r>
          </w:p>
        </w:tc>
        <w:tc>
          <w:tcPr>
            <w:tcW w:type="dxa" w:w="2550"/>
          </w:tcPr>
          <w:p>
            <w:pPr>
              <w:jc w:val="center"/>
            </w:pPr>
            <w:r>
              <w:t>8</w:t>
            </w:r>
          </w:p>
        </w:tc>
        <w:tc>
          <w:tcPr>
            <w:tcW w:type="dxa" w:w="2550"/>
          </w:tcPr>
          <w:p>
            <w:pPr>
              <w:jc w:val="center"/>
            </w:pPr>
            <w:r>
              <w:rPr>
                <w:b/>
                <w:color w:val="823535"/>
              </w:rPr>
              <w:t>0</w:t>
            </w:r>
          </w:p>
        </w:tc>
      </w:tr>
    </w:tbl>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567"/>
        <w:gridCol w:w="2155"/>
        <w:gridCol w:w="1021"/>
        <w:gridCol w:w="794"/>
        <w:gridCol w:w="1021"/>
        <w:gridCol w:w="567"/>
        <w:gridCol w:w="680"/>
        <w:gridCol w:w="850"/>
        <w:gridCol w:w="1418"/>
      </w:tblGrid>
      <w:tr>
        <w:tc>
          <w:tcPr>
            <w:tcW w:type="dxa" w:w="567"/>
            <w:shd w:val="clear" w:color="auto" w:fill="1F4E78"/>
            <w:vAlign w:val="center"/>
          </w:tcPr>
          <w:p>
            <w:r/>
            <w:r>
              <w:rPr>
                <w:b/>
                <w:color w:val="FFFFFF"/>
                <w:sz w:val="18"/>
              </w:rPr>
              <w:t>ID</w:t>
            </w:r>
          </w:p>
        </w:tc>
        <w:tc>
          <w:tcPr>
            <w:tcW w:type="dxa" w:w="2154"/>
            <w:shd w:val="clear" w:color="auto" w:fill="1F4E78"/>
            <w:vAlign w:val="center"/>
          </w:tcPr>
          <w:p>
            <w:r/>
            <w:r>
              <w:rPr>
                <w:b/>
                <w:color w:val="FFFFFF"/>
                <w:sz w:val="18"/>
              </w:rPr>
              <w:t>Indicateur</w:t>
            </w:r>
          </w:p>
        </w:tc>
        <w:tc>
          <w:tcPr>
            <w:tcW w:type="dxa" w:w="1020"/>
            <w:shd w:val="clear" w:color="auto" w:fill="1F4E78"/>
            <w:vAlign w:val="center"/>
          </w:tcPr>
          <w:p>
            <w:r/>
            <w:r>
              <w:rPr>
                <w:b/>
                <w:color w:val="FFFFFF"/>
                <w:sz w:val="18"/>
              </w:rPr>
              <w:t>Valeur 2025</w:t>
            </w:r>
          </w:p>
        </w:tc>
        <w:tc>
          <w:tcPr>
            <w:tcW w:type="dxa" w:w="794"/>
            <w:shd w:val="clear" w:color="auto" w:fill="1F4E78"/>
            <w:vAlign w:val="center"/>
          </w:tcPr>
          <w:p>
            <w:r/>
            <w:r>
              <w:rPr>
                <w:b/>
                <w:color w:val="FFFFFF"/>
                <w:sz w:val="18"/>
              </w:rPr>
              <w:t>Unité</w:t>
            </w:r>
          </w:p>
        </w:tc>
        <w:tc>
          <w:tcPr>
            <w:tcW w:type="dxa" w:w="1020"/>
            <w:shd w:val="clear" w:color="auto" w:fill="1F4E78"/>
            <w:vAlign w:val="center"/>
          </w:tcPr>
          <w:p>
            <w:r/>
            <w:r>
              <w:rPr>
                <w:b/>
                <w:color w:val="FFFFFF"/>
                <w:sz w:val="18"/>
              </w:rPr>
              <w:t>Valeur 2024</w:t>
            </w:r>
          </w:p>
        </w:tc>
        <w:tc>
          <w:tcPr>
            <w:tcW w:type="dxa" w:w="567"/>
            <w:shd w:val="clear" w:color="auto" w:fill="1F4E78"/>
            <w:vAlign w:val="center"/>
          </w:tcPr>
          <w:p>
            <w:r/>
            <w:r>
              <w:rPr>
                <w:b/>
                <w:color w:val="FFFFFF"/>
                <w:sz w:val="18"/>
              </w:rPr>
              <w:t>Tend.</w:t>
            </w:r>
          </w:p>
        </w:tc>
        <w:tc>
          <w:tcPr>
            <w:tcW w:type="dxa" w:w="680"/>
            <w:shd w:val="clear" w:color="auto" w:fill="1F4E78"/>
            <w:vAlign w:val="center"/>
          </w:tcPr>
          <w:p>
            <w:r/>
            <w:r>
              <w:rPr>
                <w:b/>
                <w:color w:val="FFFFFF"/>
                <w:sz w:val="18"/>
              </w:rPr>
              <w:t>Δ %</w:t>
            </w:r>
          </w:p>
        </w:tc>
        <w:tc>
          <w:tcPr>
            <w:tcW w:type="dxa" w:w="850"/>
            <w:shd w:val="clear" w:color="auto" w:fill="1F4E78"/>
            <w:vAlign w:val="center"/>
          </w:tcPr>
          <w:p>
            <w:r/>
            <w:r>
              <w:rPr>
                <w:b/>
                <w:color w:val="FFFFFF"/>
                <w:sz w:val="18"/>
              </w:rPr>
              <w:t>Objectif</w:t>
            </w:r>
          </w:p>
        </w:tc>
        <w:tc>
          <w:tcPr>
            <w:tcW w:type="dxa" w:w="1417"/>
            <w:shd w:val="clear" w:color="auto" w:fill="1F4E78"/>
            <w:vAlign w:val="center"/>
          </w:tcPr>
          <w:p>
            <w:r/>
            <w:r>
              <w:rPr>
                <w:b/>
                <w:color w:val="FFFFFF"/>
                <w:sz w:val="18"/>
              </w:rPr>
              <w:t>Justification</w:t>
            </w:r>
          </w:p>
        </w:tc>
      </w:tr>
      <w:tr>
        <w:tc>
          <w:tcPr>
            <w:tcW w:type="dxa" w:w="9073"/>
            <w:gridSpan w:val="9"/>
            <w:shd w:val="clear" w:color="auto" w:fill="FFF4C2"/>
          </w:tcPr>
          <w:p>
            <w:r/>
            <w:r>
              <w:rPr>
                <w:b/>
                <w:i/>
                <w:color w:val="1F4E78"/>
                <w:sz w:val="18"/>
              </w:rPr>
              <w:t>Structure de gouvernance</w:t>
            </w:r>
          </w:p>
        </w:tc>
      </w:tr>
      <w:tr>
        <w:tc>
          <w:tcPr>
            <w:tcW w:type="dxa" w:w="567"/>
          </w:tcPr>
          <w:p>
            <w:r>
              <w:rPr>
                <w:sz w:val="18"/>
              </w:rPr>
              <w:t>1</w:t>
            </w:r>
          </w:p>
        </w:tc>
        <w:tc>
          <w:tcPr>
            <w:tcW w:type="dxa" w:w="2154"/>
          </w:tcPr>
          <w:p>
            <w:r>
              <w:rPr>
                <w:sz w:val="18"/>
              </w:rPr>
              <w:t>Indiquer la structure de gouvernance de l'organisation, la composition de l'organe de gouvernance et de la direction générale.</w:t>
            </w:r>
          </w:p>
        </w:tc>
        <w:tc>
          <w:tcPr>
            <w:tcW w:type="dxa" w:w="1020"/>
          </w:tcPr>
          <w:p>
            <w:r>
              <w:rPr>
                <w:sz w:val="18"/>
              </w:rPr>
              <w:t>La gérante</w:t>
            </w:r>
          </w:p>
        </w:tc>
        <w:tc>
          <w:tcPr>
            <w:tcW w:type="dxa" w:w="794"/>
          </w:tcPr>
          <w:p>
            <w:r>
              <w:rPr>
                <w:sz w:val="18"/>
              </w:rPr>
            </w:r>
          </w:p>
        </w:tc>
        <w:tc>
          <w:tcPr>
            <w:tcW w:type="dxa" w:w="1020"/>
          </w:tcPr>
          <w:p>
            <w:r>
              <w:rPr>
                <w:sz w:val="18"/>
              </w:rPr>
              <w:t>La gérante</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Diversité de genre</w:t>
            </w:r>
          </w:p>
        </w:tc>
      </w:tr>
      <w:tr>
        <w:tc>
          <w:tcPr>
            <w:tcW w:type="dxa" w:w="567"/>
          </w:tcPr>
          <w:p>
            <w:r>
              <w:rPr>
                <w:sz w:val="18"/>
              </w:rPr>
              <w:t>2.1.1</w:t>
            </w:r>
          </w:p>
        </w:tc>
        <w:tc>
          <w:tcPr>
            <w:tcW w:type="dxa" w:w="2154"/>
          </w:tcPr>
          <w:p>
            <w:r>
              <w:rPr>
                <w:sz w:val="18"/>
              </w:rPr>
              <w:t>Organe de gouvernance - femmes</w:t>
            </w:r>
          </w:p>
        </w:tc>
        <w:tc>
          <w:tcPr>
            <w:tcW w:type="dxa" w:w="1020"/>
          </w:tcPr>
          <w:p>
            <w:r>
              <w:rPr>
                <w:sz w:val="18"/>
              </w:rPr>
              <w:t>—</w:t>
            </w:r>
          </w:p>
        </w:tc>
        <w:tc>
          <w:tcPr>
            <w:tcW w:type="dxa" w:w="794"/>
          </w:tcPr>
          <w:p>
            <w:r>
              <w:rPr>
                <w:sz w:val="18"/>
              </w:rPr>
              <w:t>personnes</w:t>
            </w:r>
          </w:p>
        </w:tc>
        <w:tc>
          <w:tcPr>
            <w:tcW w:type="dxa" w:w="1020"/>
          </w:tcPr>
          <w:p>
            <w:r>
              <w:rPr>
                <w:sz w:val="18"/>
              </w:rPr>
              <w:t>1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2.1.2</w:t>
            </w:r>
          </w:p>
        </w:tc>
        <w:tc>
          <w:tcPr>
            <w:tcW w:type="dxa" w:w="2154"/>
          </w:tcPr>
          <w:p>
            <w:r>
              <w:rPr>
                <w:sz w:val="18"/>
              </w:rPr>
              <w:t>Organe de gouvernance - hommes</w:t>
            </w:r>
          </w:p>
        </w:tc>
        <w:tc>
          <w:tcPr>
            <w:tcW w:type="dxa" w:w="1020"/>
          </w:tcPr>
          <w:p>
            <w:r>
              <w:rPr>
                <w:sz w:val="18"/>
              </w:rPr>
              <w:t>—</w:t>
            </w:r>
          </w:p>
        </w:tc>
        <w:tc>
          <w:tcPr>
            <w:tcW w:type="dxa" w:w="794"/>
          </w:tcPr>
          <w:p>
            <w:r>
              <w:rPr>
                <w:sz w:val="18"/>
              </w:rPr>
              <w:t>personnes</w:t>
            </w:r>
          </w:p>
        </w:tc>
        <w:tc>
          <w:tcPr>
            <w:tcW w:type="dxa" w:w="1020"/>
          </w:tcPr>
          <w:p>
            <w:r>
              <w:rPr>
                <w:sz w:val="18"/>
              </w:rPr>
              <w:t>0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w:t>
            </w:r>
          </w:p>
        </w:tc>
        <w:tc>
          <w:tcPr>
            <w:tcW w:type="dxa" w:w="2154"/>
          </w:tcPr>
          <w:p>
            <w:r>
              <w:rPr>
                <w:sz w:val="18"/>
              </w:rPr>
              <w:t>Calcul – Part (%) des femmes dans l'organe de gouvernance</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2.2.1</w:t>
            </w:r>
          </w:p>
        </w:tc>
        <w:tc>
          <w:tcPr>
            <w:tcW w:type="dxa" w:w="2154"/>
          </w:tcPr>
          <w:p>
            <w:r>
              <w:rPr>
                <w:sz w:val="18"/>
              </w:rPr>
              <w:t>Management - femmes</w:t>
            </w:r>
          </w:p>
        </w:tc>
        <w:tc>
          <w:tcPr>
            <w:tcW w:type="dxa" w:w="1020"/>
          </w:tcPr>
          <w:p>
            <w:r>
              <w:rPr>
                <w:sz w:val="18"/>
              </w:rPr>
              <w:t>—</w:t>
            </w:r>
          </w:p>
        </w:tc>
        <w:tc>
          <w:tcPr>
            <w:tcW w:type="dxa" w:w="794"/>
          </w:tcPr>
          <w:p>
            <w:r>
              <w:rPr>
                <w:sz w:val="18"/>
              </w:rPr>
              <w:t>personnes</w:t>
            </w:r>
          </w:p>
        </w:tc>
        <w:tc>
          <w:tcPr>
            <w:tcW w:type="dxa" w:w="1020"/>
          </w:tcPr>
          <w:p>
            <w:r>
              <w:rPr>
                <w:sz w:val="18"/>
              </w:rPr>
              <w:t>1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2.2.2</w:t>
            </w:r>
          </w:p>
        </w:tc>
        <w:tc>
          <w:tcPr>
            <w:tcW w:type="dxa" w:w="2154"/>
          </w:tcPr>
          <w:p>
            <w:r>
              <w:rPr>
                <w:sz w:val="18"/>
              </w:rPr>
              <w:t>Management - hommes</w:t>
            </w:r>
          </w:p>
        </w:tc>
        <w:tc>
          <w:tcPr>
            <w:tcW w:type="dxa" w:w="1020"/>
          </w:tcPr>
          <w:p>
            <w:r>
              <w:rPr>
                <w:sz w:val="18"/>
              </w:rPr>
              <w:t>—</w:t>
            </w:r>
          </w:p>
        </w:tc>
        <w:tc>
          <w:tcPr>
            <w:tcW w:type="dxa" w:w="794"/>
          </w:tcPr>
          <w:p>
            <w:r>
              <w:rPr>
                <w:sz w:val="18"/>
              </w:rPr>
              <w:t>personnes</w:t>
            </w:r>
          </w:p>
        </w:tc>
        <w:tc>
          <w:tcPr>
            <w:tcW w:type="dxa" w:w="1020"/>
          </w:tcPr>
          <w:p>
            <w:r>
              <w:rPr>
                <w:sz w:val="18"/>
              </w:rPr>
              <w:t>0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2.2</w:t>
            </w:r>
          </w:p>
        </w:tc>
        <w:tc>
          <w:tcPr>
            <w:tcW w:type="dxa" w:w="2154"/>
          </w:tcPr>
          <w:p>
            <w:r>
              <w:rPr>
                <w:sz w:val="18"/>
              </w:rPr>
              <w:t>Calcul – Part (%) des femmes dans le management</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2.3.1</w:t>
            </w:r>
          </w:p>
        </w:tc>
        <w:tc>
          <w:tcPr>
            <w:tcW w:type="dxa" w:w="2154"/>
          </w:tcPr>
          <w:p>
            <w:r>
              <w:rPr>
                <w:sz w:val="18"/>
              </w:rPr>
              <w:t>Direction générale - femmes</w:t>
            </w:r>
          </w:p>
        </w:tc>
        <w:tc>
          <w:tcPr>
            <w:tcW w:type="dxa" w:w="1020"/>
          </w:tcPr>
          <w:p>
            <w:r>
              <w:rPr>
                <w:sz w:val="18"/>
              </w:rPr>
              <w:t>—</w:t>
            </w:r>
          </w:p>
        </w:tc>
        <w:tc>
          <w:tcPr>
            <w:tcW w:type="dxa" w:w="794"/>
          </w:tcPr>
          <w:p>
            <w:r>
              <w:rPr>
                <w:sz w:val="18"/>
              </w:rPr>
              <w:t>personnes</w:t>
            </w:r>
          </w:p>
        </w:tc>
        <w:tc>
          <w:tcPr>
            <w:tcW w:type="dxa" w:w="1020"/>
          </w:tcPr>
          <w:p>
            <w:r>
              <w:rPr>
                <w:sz w:val="18"/>
              </w:rPr>
              <w:t>1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2.3.2</w:t>
            </w:r>
          </w:p>
        </w:tc>
        <w:tc>
          <w:tcPr>
            <w:tcW w:type="dxa" w:w="2154"/>
          </w:tcPr>
          <w:p>
            <w:r>
              <w:rPr>
                <w:sz w:val="18"/>
              </w:rPr>
              <w:t>Direction générale - hommes</w:t>
            </w:r>
          </w:p>
        </w:tc>
        <w:tc>
          <w:tcPr>
            <w:tcW w:type="dxa" w:w="1020"/>
          </w:tcPr>
          <w:p>
            <w:r>
              <w:rPr>
                <w:sz w:val="18"/>
              </w:rPr>
              <w:t>—</w:t>
            </w:r>
          </w:p>
        </w:tc>
        <w:tc>
          <w:tcPr>
            <w:tcW w:type="dxa" w:w="794"/>
          </w:tcPr>
          <w:p>
            <w:r>
              <w:rPr>
                <w:sz w:val="18"/>
              </w:rPr>
              <w:t>personnes</w:t>
            </w:r>
          </w:p>
        </w:tc>
        <w:tc>
          <w:tcPr>
            <w:tcW w:type="dxa" w:w="1020"/>
          </w:tcPr>
          <w:p>
            <w:r>
              <w:rPr>
                <w:sz w:val="18"/>
              </w:rPr>
              <w:t>0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w:t>
            </w:r>
          </w:p>
        </w:tc>
        <w:tc>
          <w:tcPr>
            <w:tcW w:type="dxa" w:w="2154"/>
          </w:tcPr>
          <w:p>
            <w:r>
              <w:rPr>
                <w:sz w:val="18"/>
              </w:rPr>
              <w:t>Calcul – Part (%) des femmes dans la direction générale</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Politiques et chartes</w:t>
            </w:r>
          </w:p>
        </w:tc>
      </w:tr>
      <w:tr>
        <w:tc>
          <w:tcPr>
            <w:tcW w:type="dxa" w:w="567"/>
          </w:tcPr>
          <w:p>
            <w:r>
              <w:rPr>
                <w:sz w:val="18"/>
              </w:rPr>
              <w:t>3.1</w:t>
            </w:r>
          </w:p>
        </w:tc>
        <w:tc>
          <w:tcPr>
            <w:tcW w:type="dxa" w:w="2154"/>
          </w:tcPr>
          <w:p>
            <w:r>
              <w:rPr>
                <w:sz w:val="18"/>
              </w:rPr>
              <w:t>Il existe une politique ou une charte en matière de Numérique (oui / non).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3.2</w:t>
            </w:r>
          </w:p>
        </w:tc>
        <w:tc>
          <w:tcPr>
            <w:tcW w:type="dxa" w:w="2154"/>
          </w:tcPr>
          <w:p>
            <w:r>
              <w:rPr>
                <w:sz w:val="18"/>
              </w:rPr>
              <w:t>Il existe une politique ou une charte en matière de Fournisseurs / achats durables (oui / non).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3.3</w:t>
            </w:r>
          </w:p>
        </w:tc>
        <w:tc>
          <w:tcPr>
            <w:tcW w:type="dxa" w:w="2154"/>
          </w:tcPr>
          <w:p>
            <w:r>
              <w:rPr>
                <w:sz w:val="18"/>
              </w:rPr>
              <w:t>Il existe une politique ou une charte en matière de Droits humains (oui / non).</w:t>
            </w:r>
          </w:p>
        </w:tc>
        <w:tc>
          <w:tcPr>
            <w:tcW w:type="dxa" w:w="1020"/>
          </w:tcPr>
          <w:p>
            <w:r>
              <w:rPr>
                <w:sz w:val="18"/>
              </w:rPr>
              <w:t>Oui</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2E6A37"/>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3.4</w:t>
            </w:r>
          </w:p>
        </w:tc>
        <w:tc>
          <w:tcPr>
            <w:tcW w:type="dxa" w:w="2154"/>
          </w:tcPr>
          <w:p>
            <w:r>
              <w:rPr>
                <w:sz w:val="18"/>
              </w:rPr>
              <w:t>Il existe une politique ou une charte en matière de Rémunération (oui / non).</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3.5</w:t>
            </w:r>
          </w:p>
        </w:tc>
        <w:tc>
          <w:tcPr>
            <w:tcW w:type="dxa" w:w="2154"/>
          </w:tcPr>
          <w:p>
            <w:r>
              <w:rPr>
                <w:sz w:val="18"/>
              </w:rPr>
              <w:t>Il existe une politique ou une charte en matière d'alertes internes (oui / non).</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3.6</w:t>
            </w:r>
          </w:p>
        </w:tc>
        <w:tc>
          <w:tcPr>
            <w:tcW w:type="dxa" w:w="2154"/>
          </w:tcPr>
          <w:p>
            <w:r>
              <w:rPr>
                <w:sz w:val="18"/>
              </w:rPr>
              <w:t>Il existe une politique ou une charte en matière d'environnement (oui / non).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Engagement de l'organe de gouvernance</w:t>
            </w:r>
          </w:p>
        </w:tc>
      </w:tr>
      <w:tr>
        <w:tc>
          <w:tcPr>
            <w:tcW w:type="dxa" w:w="567"/>
          </w:tcPr>
          <w:p>
            <w:r>
              <w:rPr>
                <w:sz w:val="18"/>
              </w:rPr>
              <w:t>4</w:t>
            </w:r>
          </w:p>
        </w:tc>
        <w:tc>
          <w:tcPr>
            <w:tcW w:type="dxa" w:w="2154"/>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Gouvernance responsable</w:t>
            </w:r>
          </w:p>
        </w:tc>
      </w:tr>
      <w:tr>
        <w:tc>
          <w:tcPr>
            <w:tcW w:type="dxa" w:w="567"/>
          </w:tcPr>
          <w:p>
            <w:r>
              <w:rPr>
                <w:sz w:val="18"/>
              </w:rPr>
              <w:t>5</w:t>
            </w:r>
          </w:p>
        </w:tc>
        <w:tc>
          <w:tcPr>
            <w:tcW w:type="dxa" w:w="2154"/>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Stratégie de durabilité</w:t>
            </w:r>
          </w:p>
        </w:tc>
      </w:tr>
      <w:tr>
        <w:tc>
          <w:tcPr>
            <w:tcW w:type="dxa" w:w="567"/>
          </w:tcPr>
          <w:p>
            <w:r>
              <w:rPr>
                <w:sz w:val="18"/>
              </w:rPr>
              <w:t>6</w:t>
            </w:r>
          </w:p>
        </w:tc>
        <w:tc>
          <w:tcPr>
            <w:tcW w:type="dxa" w:w="2154"/>
          </w:tcPr>
          <w:p>
            <w:r>
              <w:rPr>
                <w:sz w:val="18"/>
              </w:rPr>
              <w:t>Indiquer si l'organe de gouvernance est impliqué dans l'élaboration et le suivi de la stratégie de développement durable.</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Intégration ESG</w:t>
            </w:r>
          </w:p>
        </w:tc>
      </w:tr>
      <w:tr>
        <w:tc>
          <w:tcPr>
            <w:tcW w:type="dxa" w:w="567"/>
          </w:tcPr>
          <w:p>
            <w:r>
              <w:rPr>
                <w:sz w:val="18"/>
              </w:rPr>
              <w:t>7</w:t>
            </w:r>
          </w:p>
        </w:tc>
        <w:tc>
          <w:tcPr>
            <w:tcW w:type="dxa" w:w="2154"/>
          </w:tcPr>
          <w:p>
            <w:r>
              <w:rPr>
                <w:sz w:val="18"/>
              </w:rPr>
              <w:t>Décrire comment l'organisation intègre les critères sociaux et environnementaux dans ses processus de prise de décision.</w:t>
            </w:r>
          </w:p>
        </w:tc>
        <w:tc>
          <w:tcPr>
            <w:tcW w:type="dxa" w:w="1020"/>
          </w:tcPr>
          <w:p>
            <w:r>
              <w:rPr>
                <w:sz w:val="18"/>
              </w:rPr>
              <w:t>Réunion mensuel pour discuter les optimisations possible</w:t>
            </w:r>
          </w:p>
        </w:tc>
        <w:tc>
          <w:tcPr>
            <w:tcW w:type="dxa" w:w="794"/>
          </w:tcPr>
          <w:p>
            <w:r>
              <w:rPr>
                <w:sz w:val="18"/>
              </w:rPr>
            </w:r>
          </w:p>
        </w:tc>
        <w:tc>
          <w:tcPr>
            <w:tcW w:type="dxa" w:w="1020"/>
          </w:tcPr>
          <w:p>
            <w:r>
              <w:rPr>
                <w:sz w:val="18"/>
              </w:rPr>
              <w:t>Réunion mensuel pour discuter les optimisations possible</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Suivi ESG</w:t>
            </w:r>
          </w:p>
        </w:tc>
      </w:tr>
      <w:tr>
        <w:tc>
          <w:tcPr>
            <w:tcW w:type="dxa" w:w="567"/>
          </w:tcPr>
          <w:p>
            <w:r>
              <w:rPr>
                <w:sz w:val="18"/>
              </w:rPr>
              <w:t>8</w:t>
            </w:r>
          </w:p>
        </w:tc>
        <w:tc>
          <w:tcPr>
            <w:tcW w:type="dxa" w:w="2154"/>
          </w:tcPr>
          <w:p>
            <w:r>
              <w:rPr>
                <w:sz w:val="18"/>
              </w:rPr>
              <w:t>Indiquer si l'organe de gouvernance (ex. conseil d'administration) examine la performance sociale et environnementale de l'organisation au moins une fois par an.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Achats durables</w:t>
            </w:r>
          </w:p>
        </w:tc>
      </w:tr>
      <w:tr>
        <w:tc>
          <w:tcPr>
            <w:tcW w:type="dxa" w:w="567"/>
          </w:tcPr>
          <w:p>
            <w:r>
              <w:rPr>
                <w:sz w:val="18"/>
              </w:rPr>
              <w:t>9.1</w:t>
            </w:r>
          </w:p>
        </w:tc>
        <w:tc>
          <w:tcPr>
            <w:tcW w:type="dxa" w:w="2154"/>
          </w:tcPr>
          <w:p>
            <w:r>
              <w:rPr>
                <w:sz w:val="18"/>
              </w:rPr>
              <w:t>Montant des achats auprès de fournisseurs engagés dans une démarche de durabilité (certification reconnue, charte signée, questionnaire RSE complété, etc.).</w:t>
            </w:r>
          </w:p>
        </w:tc>
        <w:tc>
          <w:tcPr>
            <w:tcW w:type="dxa" w:w="1020"/>
          </w:tcPr>
          <w:p>
            <w:r>
              <w:rPr>
                <w:sz w:val="18"/>
              </w:rPr>
              <w:t>—</w:t>
            </w:r>
          </w:p>
        </w:tc>
        <w:tc>
          <w:tcPr>
            <w:tcW w:type="dxa" w:w="794"/>
          </w:tcPr>
          <w:p>
            <w:r>
              <w:rPr>
                <w:sz w:val="18"/>
              </w:rPr>
              <w:t>CHF</w:t>
            </w:r>
          </w:p>
        </w:tc>
        <w:tc>
          <w:tcPr>
            <w:tcW w:type="dxa" w:w="1020"/>
          </w:tcPr>
          <w:p>
            <w:r>
              <w:rPr>
                <w:sz w:val="18"/>
              </w:rPr>
              <w:t>50'000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9.2</w:t>
            </w:r>
          </w:p>
        </w:tc>
        <w:tc>
          <w:tcPr>
            <w:tcW w:type="dxa" w:w="2154"/>
          </w:tcPr>
          <w:p>
            <w:r>
              <w:rPr>
                <w:sz w:val="18"/>
              </w:rPr>
              <w:t>Montant total des achats.</w:t>
            </w:r>
          </w:p>
        </w:tc>
        <w:tc>
          <w:tcPr>
            <w:tcW w:type="dxa" w:w="1020"/>
          </w:tcPr>
          <w:p>
            <w:r>
              <w:rPr>
                <w:sz w:val="18"/>
              </w:rPr>
              <w:t>—</w:t>
            </w:r>
          </w:p>
        </w:tc>
        <w:tc>
          <w:tcPr>
            <w:tcW w:type="dxa" w:w="794"/>
          </w:tcPr>
          <w:p>
            <w:r>
              <w:rPr>
                <w:sz w:val="18"/>
              </w:rPr>
              <w:t>CHF</w:t>
            </w:r>
          </w:p>
        </w:tc>
        <w:tc>
          <w:tcPr>
            <w:tcW w:type="dxa" w:w="1020"/>
          </w:tcPr>
          <w:p>
            <w:r>
              <w:rPr>
                <w:sz w:val="18"/>
              </w:rPr>
              <w:t>80'000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9</w:t>
            </w:r>
          </w:p>
        </w:tc>
        <w:tc>
          <w:tcPr>
            <w:tcW w:type="dxa" w:w="2154"/>
          </w:tcPr>
          <w:p>
            <w:r>
              <w:rPr>
                <w:sz w:val="18"/>
              </w:rPr>
              <w:t>Calcul – Part (%) des achats réalisés auprès de fournisseurs engagés dans une démarche de durabilité</w:t>
            </w:r>
          </w:p>
        </w:tc>
        <w:tc>
          <w:tcPr>
            <w:tcW w:type="dxa" w:w="1020"/>
          </w:tcPr>
          <w:p>
            <w:r>
              <w:rPr>
                <w:sz w:val="18"/>
              </w:rPr>
              <w:t>—</w:t>
            </w:r>
          </w:p>
        </w:tc>
        <w:tc>
          <w:tcPr>
            <w:tcW w:type="dxa" w:w="794"/>
          </w:tcPr>
          <w:p>
            <w:r>
              <w:rPr>
                <w:sz w:val="18"/>
              </w:rPr>
              <w:t>%</w:t>
            </w:r>
          </w:p>
        </w:tc>
        <w:tc>
          <w:tcPr>
            <w:tcW w:type="dxa" w:w="1020"/>
          </w:tcPr>
          <w:p>
            <w:r>
              <w:rPr>
                <w:sz w:val="18"/>
              </w:rPr>
              <w:t>62.5%</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Numérique responsable</w:t>
            </w:r>
          </w:p>
        </w:tc>
      </w:tr>
      <w:tr>
        <w:tc>
          <w:tcPr>
            <w:tcW w:type="dxa" w:w="567"/>
          </w:tcPr>
          <w:p>
            <w:r>
              <w:rPr>
                <w:sz w:val="18"/>
              </w:rPr>
              <w:t>10.1.1</w:t>
            </w:r>
          </w:p>
        </w:tc>
        <w:tc>
          <w:tcPr>
            <w:tcW w:type="dxa" w:w="2154"/>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10.1.2</w:t>
            </w:r>
          </w:p>
        </w:tc>
        <w:tc>
          <w:tcPr>
            <w:tcW w:type="dxa" w:w="2154"/>
          </w:tcPr>
          <w:p>
            <w:r>
              <w:rPr>
                <w:sz w:val="18"/>
              </w:rPr>
              <w:t>Volume de données stockées en Suisse.</w:t>
            </w:r>
          </w:p>
        </w:tc>
        <w:tc>
          <w:tcPr>
            <w:tcW w:type="dxa" w:w="1020"/>
          </w:tcPr>
          <w:p>
            <w:r>
              <w:rPr>
                <w:sz w:val="18"/>
              </w:rPr>
              <w:t>—</w:t>
            </w:r>
          </w:p>
        </w:tc>
        <w:tc>
          <w:tcPr>
            <w:tcW w:type="dxa" w:w="794"/>
          </w:tcPr>
          <w:p>
            <w:r>
              <w:rPr>
                <w:sz w:val="18"/>
              </w:rPr>
              <w:t>TB</w:t>
            </w:r>
          </w:p>
        </w:tc>
        <w:tc>
          <w:tcPr>
            <w:tcW w:type="dxa" w:w="1020"/>
          </w:tcPr>
          <w:p>
            <w:r>
              <w:rPr>
                <w:sz w:val="18"/>
              </w:rPr>
              <w:t>10 TB</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10.1.3</w:t>
            </w:r>
          </w:p>
        </w:tc>
        <w:tc>
          <w:tcPr>
            <w:tcW w:type="dxa" w:w="2154"/>
          </w:tcPr>
          <w:p>
            <w:r>
              <w:rPr>
                <w:sz w:val="18"/>
              </w:rPr>
              <w:t>Volume total de données stockées.</w:t>
            </w:r>
          </w:p>
        </w:tc>
        <w:tc>
          <w:tcPr>
            <w:tcW w:type="dxa" w:w="1020"/>
          </w:tcPr>
          <w:p>
            <w:r>
              <w:rPr>
                <w:sz w:val="18"/>
              </w:rPr>
              <w:t>—</w:t>
            </w:r>
          </w:p>
        </w:tc>
        <w:tc>
          <w:tcPr>
            <w:tcW w:type="dxa" w:w="794"/>
          </w:tcPr>
          <w:p>
            <w:r>
              <w:rPr>
                <w:sz w:val="18"/>
              </w:rPr>
              <w:t>TB</w:t>
            </w:r>
          </w:p>
        </w:tc>
        <w:tc>
          <w:tcPr>
            <w:tcW w:type="dxa" w:w="1020"/>
          </w:tcPr>
          <w:p>
            <w:r>
              <w:rPr>
                <w:sz w:val="18"/>
              </w:rPr>
              <w:t>12 TB</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10.1</w:t>
            </w:r>
          </w:p>
        </w:tc>
        <w:tc>
          <w:tcPr>
            <w:tcW w:type="dxa" w:w="2154"/>
          </w:tcPr>
          <w:p>
            <w:r>
              <w:rPr>
                <w:sz w:val="18"/>
              </w:rPr>
              <w:t>Calcul – Part (%) des données localisées en Suisse</w:t>
            </w:r>
          </w:p>
        </w:tc>
        <w:tc>
          <w:tcPr>
            <w:tcW w:type="dxa" w:w="1020"/>
          </w:tcPr>
          <w:p>
            <w:r>
              <w:rPr>
                <w:sz w:val="18"/>
              </w:rPr>
              <w:t>—</w:t>
            </w:r>
          </w:p>
        </w:tc>
        <w:tc>
          <w:tcPr>
            <w:tcW w:type="dxa" w:w="794"/>
          </w:tcPr>
          <w:p>
            <w:r>
              <w:rPr>
                <w:sz w:val="18"/>
              </w:rPr>
              <w:t>%</w:t>
            </w:r>
          </w:p>
        </w:tc>
        <w:tc>
          <w:tcPr>
            <w:tcW w:type="dxa" w:w="1020"/>
          </w:tcPr>
          <w:p>
            <w:r>
              <w:rPr>
                <w:sz w:val="18"/>
              </w:rPr>
              <w:t>83.3%</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10.2</w:t>
            </w:r>
          </w:p>
        </w:tc>
        <w:tc>
          <w:tcPr>
            <w:tcW w:type="dxa" w:w="2154"/>
          </w:tcPr>
          <w:p>
            <w:r>
              <w:rPr>
                <w:sz w:val="18"/>
              </w:rPr>
              <w:t>Indiquer si l'entreprise a obtenu une certification ou un label numérique. Le cas échéant, le nommer.</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567"/>
        <w:gridCol w:w="2155"/>
        <w:gridCol w:w="1021"/>
        <w:gridCol w:w="794"/>
        <w:gridCol w:w="1021"/>
        <w:gridCol w:w="567"/>
        <w:gridCol w:w="680"/>
        <w:gridCol w:w="850"/>
        <w:gridCol w:w="1418"/>
      </w:tblGrid>
      <w:tr>
        <w:tc>
          <w:tcPr>
            <w:tcW w:type="dxa" w:w="567"/>
            <w:shd w:val="clear" w:color="auto" w:fill="1F4E78"/>
            <w:vAlign w:val="center"/>
          </w:tcPr>
          <w:p>
            <w:r/>
            <w:r>
              <w:rPr>
                <w:b/>
                <w:color w:val="FFFFFF"/>
                <w:sz w:val="18"/>
              </w:rPr>
              <w:t>ID</w:t>
            </w:r>
          </w:p>
        </w:tc>
        <w:tc>
          <w:tcPr>
            <w:tcW w:type="dxa" w:w="2154"/>
            <w:shd w:val="clear" w:color="auto" w:fill="1F4E78"/>
            <w:vAlign w:val="center"/>
          </w:tcPr>
          <w:p>
            <w:r/>
            <w:r>
              <w:rPr>
                <w:b/>
                <w:color w:val="FFFFFF"/>
                <w:sz w:val="18"/>
              </w:rPr>
              <w:t>Indicateur</w:t>
            </w:r>
          </w:p>
        </w:tc>
        <w:tc>
          <w:tcPr>
            <w:tcW w:type="dxa" w:w="1020"/>
            <w:shd w:val="clear" w:color="auto" w:fill="1F4E78"/>
            <w:vAlign w:val="center"/>
          </w:tcPr>
          <w:p>
            <w:r/>
            <w:r>
              <w:rPr>
                <w:b/>
                <w:color w:val="FFFFFF"/>
                <w:sz w:val="18"/>
              </w:rPr>
              <w:t>Valeur 2025</w:t>
            </w:r>
          </w:p>
        </w:tc>
        <w:tc>
          <w:tcPr>
            <w:tcW w:type="dxa" w:w="794"/>
            <w:shd w:val="clear" w:color="auto" w:fill="1F4E78"/>
            <w:vAlign w:val="center"/>
          </w:tcPr>
          <w:p>
            <w:r/>
            <w:r>
              <w:rPr>
                <w:b/>
                <w:color w:val="FFFFFF"/>
                <w:sz w:val="18"/>
              </w:rPr>
              <w:t>Unité</w:t>
            </w:r>
          </w:p>
        </w:tc>
        <w:tc>
          <w:tcPr>
            <w:tcW w:type="dxa" w:w="1020"/>
            <w:shd w:val="clear" w:color="auto" w:fill="1F4E78"/>
            <w:vAlign w:val="center"/>
          </w:tcPr>
          <w:p>
            <w:r/>
            <w:r>
              <w:rPr>
                <w:b/>
                <w:color w:val="FFFFFF"/>
                <w:sz w:val="18"/>
              </w:rPr>
              <w:t>Valeur 2024</w:t>
            </w:r>
          </w:p>
        </w:tc>
        <w:tc>
          <w:tcPr>
            <w:tcW w:type="dxa" w:w="567"/>
            <w:shd w:val="clear" w:color="auto" w:fill="1F4E78"/>
            <w:vAlign w:val="center"/>
          </w:tcPr>
          <w:p>
            <w:r/>
            <w:r>
              <w:rPr>
                <w:b/>
                <w:color w:val="FFFFFF"/>
                <w:sz w:val="18"/>
              </w:rPr>
              <w:t>Tend.</w:t>
            </w:r>
          </w:p>
        </w:tc>
        <w:tc>
          <w:tcPr>
            <w:tcW w:type="dxa" w:w="680"/>
            <w:shd w:val="clear" w:color="auto" w:fill="1F4E78"/>
            <w:vAlign w:val="center"/>
          </w:tcPr>
          <w:p>
            <w:r/>
            <w:r>
              <w:rPr>
                <w:b/>
                <w:color w:val="FFFFFF"/>
                <w:sz w:val="18"/>
              </w:rPr>
              <w:t>Δ %</w:t>
            </w:r>
          </w:p>
        </w:tc>
        <w:tc>
          <w:tcPr>
            <w:tcW w:type="dxa" w:w="850"/>
            <w:shd w:val="clear" w:color="auto" w:fill="1F4E78"/>
            <w:vAlign w:val="center"/>
          </w:tcPr>
          <w:p>
            <w:r/>
            <w:r>
              <w:rPr>
                <w:b/>
                <w:color w:val="FFFFFF"/>
                <w:sz w:val="18"/>
              </w:rPr>
              <w:t>Objectif</w:t>
            </w:r>
          </w:p>
        </w:tc>
        <w:tc>
          <w:tcPr>
            <w:tcW w:type="dxa" w:w="1417"/>
            <w:shd w:val="clear" w:color="auto" w:fill="1F4E78"/>
            <w:vAlign w:val="center"/>
          </w:tcPr>
          <w:p>
            <w:r/>
            <w:r>
              <w:rPr>
                <w:b/>
                <w:color w:val="FFFFFF"/>
                <w:sz w:val="18"/>
              </w:rPr>
              <w:t>Justification</w:t>
            </w:r>
          </w:p>
        </w:tc>
      </w:tr>
      <w:tr>
        <w:tc>
          <w:tcPr>
            <w:tcW w:type="dxa" w:w="9073"/>
            <w:gridSpan w:val="9"/>
            <w:shd w:val="clear" w:color="auto" w:fill="CFE0F5"/>
          </w:tcPr>
          <w:p>
            <w:r/>
            <w:r>
              <w:rPr>
                <w:b/>
                <w:i/>
                <w:color w:val="1F4E78"/>
                <w:sz w:val="18"/>
              </w:rPr>
              <w:t>Conditions de travail</w:t>
            </w:r>
          </w:p>
        </w:tc>
      </w:tr>
      <w:tr>
        <w:tc>
          <w:tcPr>
            <w:tcW w:type="dxa" w:w="567"/>
          </w:tcPr>
          <w:p>
            <w:r>
              <w:rPr>
                <w:sz w:val="18"/>
              </w:rPr>
              <w:t>11</w:t>
            </w:r>
          </w:p>
        </w:tc>
        <w:tc>
          <w:tcPr>
            <w:tcW w:type="dxa" w:w="2154"/>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Satisfaction du personnel</w:t>
            </w:r>
          </w:p>
        </w:tc>
      </w:tr>
      <w:tr>
        <w:tc>
          <w:tcPr>
            <w:tcW w:type="dxa" w:w="567"/>
          </w:tcPr>
          <w:p>
            <w:r>
              <w:rPr>
                <w:sz w:val="18"/>
              </w:rPr>
              <w:t>12.1</w:t>
            </w:r>
          </w:p>
        </w:tc>
        <w:tc>
          <w:tcPr>
            <w:tcW w:type="dxa" w:w="2154"/>
          </w:tcPr>
          <w:p>
            <w:r>
              <w:rPr>
                <w:sz w:val="18"/>
              </w:rPr>
              <w:t>Nombre total de réponses à l'enquête de satisfaction du personnel.</w:t>
            </w:r>
          </w:p>
        </w:tc>
        <w:tc>
          <w:tcPr>
            <w:tcW w:type="dxa" w:w="1020"/>
          </w:tcPr>
          <w:p>
            <w:r>
              <w:rPr>
                <w:sz w:val="18"/>
              </w:rPr>
              <w:t>—</w:t>
            </w:r>
          </w:p>
        </w:tc>
        <w:tc>
          <w:tcPr>
            <w:tcW w:type="dxa" w:w="794"/>
          </w:tcPr>
          <w:p>
            <w:r>
              <w:rPr>
                <w:sz w:val="18"/>
              </w:rPr>
              <w:t>réponses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12.2</w:t>
            </w:r>
          </w:p>
        </w:tc>
        <w:tc>
          <w:tcPr>
            <w:tcW w:type="dxa" w:w="2154"/>
          </w:tcPr>
          <w:p>
            <w:r>
              <w:rPr>
                <w:sz w:val="18"/>
              </w:rPr>
              <w:t>Nombre de réponses favorables (notes 4 ou 5 sur une échelle de 1 à 5).</w:t>
            </w:r>
          </w:p>
        </w:tc>
        <w:tc>
          <w:tcPr>
            <w:tcW w:type="dxa" w:w="1020"/>
          </w:tcPr>
          <w:p>
            <w:r>
              <w:rPr>
                <w:sz w:val="18"/>
              </w:rPr>
              <w:t>—</w:t>
            </w:r>
          </w:p>
        </w:tc>
        <w:tc>
          <w:tcPr>
            <w:tcW w:type="dxa" w:w="794"/>
          </w:tcPr>
          <w:p>
            <w:r>
              <w:rPr>
                <w:sz w:val="18"/>
              </w:rPr>
              <w:t>réponses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12</w:t>
            </w:r>
          </w:p>
        </w:tc>
        <w:tc>
          <w:tcPr>
            <w:tcW w:type="dxa" w:w="2154"/>
          </w:tcPr>
          <w:p>
            <w:r>
              <w:rPr>
                <w:sz w:val="18"/>
              </w:rPr>
              <w:t>Calcul – Taux de réponses favorables</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Ancienneté</w:t>
            </w:r>
          </w:p>
        </w:tc>
      </w:tr>
      <w:tr>
        <w:tc>
          <w:tcPr>
            <w:tcW w:type="dxa" w:w="567"/>
          </w:tcPr>
          <w:p>
            <w:r>
              <w:rPr>
                <w:sz w:val="18"/>
              </w:rPr>
              <w:t>13</w:t>
            </w:r>
          </w:p>
        </w:tc>
        <w:tc>
          <w:tcPr>
            <w:tcW w:type="dxa" w:w="2154"/>
          </w:tcPr>
          <w:p>
            <w:r>
              <w:rPr>
                <w:sz w:val="18"/>
              </w:rPr>
              <w:t>Indiquer la répartition des membres du personnel selon leur ancienneté, par tranches de 5 ans.</w:t>
            </w:r>
          </w:p>
        </w:tc>
        <w:tc>
          <w:tcPr>
            <w:tcW w:type="dxa" w:w="1020"/>
          </w:tcPr>
          <w:p>
            <w:r>
              <w:rPr>
                <w:sz w:val="18"/>
              </w:rPr>
              <w:t>5-10 ans: 14 (78%); 11-15 ans: 4 (22%)</w:t>
            </w:r>
          </w:p>
        </w:tc>
        <w:tc>
          <w:tcPr>
            <w:tcW w:type="dxa" w:w="794"/>
          </w:tcPr>
          <w:p>
            <w:r>
              <w:rPr>
                <w:sz w:val="18"/>
              </w:rPr>
            </w:r>
          </w:p>
        </w:tc>
        <w:tc>
          <w:tcPr>
            <w:tcW w:type="dxa" w:w="1020"/>
          </w:tcPr>
          <w:p>
            <w:r>
              <w:rPr>
                <w:sz w:val="18"/>
              </w:rPr>
              <w:t>5-10 ans: 14 (100%)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Rotation du personnel</w:t>
            </w:r>
          </w:p>
        </w:tc>
      </w:tr>
      <w:tr>
        <w:tc>
          <w:tcPr>
            <w:tcW w:type="dxa" w:w="567"/>
          </w:tcPr>
          <w:p>
            <w:r>
              <w:rPr>
                <w:sz w:val="18"/>
              </w:rPr>
              <w:t>14.1</w:t>
            </w:r>
          </w:p>
        </w:tc>
        <w:tc>
          <w:tcPr>
            <w:tcW w:type="dxa" w:w="2154"/>
          </w:tcPr>
          <w:p>
            <w:r>
              <w:rPr>
                <w:sz w:val="18"/>
              </w:rPr>
              <w:t>Indiquer le nombre de départs sur la période</w:t>
            </w:r>
          </w:p>
        </w:tc>
        <w:tc>
          <w:tcPr>
            <w:tcW w:type="dxa" w:w="1020"/>
          </w:tcPr>
          <w:p>
            <w:r>
              <w:rPr>
                <w:sz w:val="18"/>
              </w:rPr>
              <w:t>—</w:t>
            </w:r>
          </w:p>
        </w:tc>
        <w:tc>
          <w:tcPr>
            <w:tcW w:type="dxa" w:w="794"/>
          </w:tcPr>
          <w:p>
            <w:r>
              <w:rPr>
                <w:sz w:val="18"/>
              </w:rPr>
              <w:t>personnes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14.2</w:t>
            </w:r>
          </w:p>
        </w:tc>
        <w:tc>
          <w:tcPr>
            <w:tcW w:type="dxa" w:w="2154"/>
          </w:tcPr>
          <w:p>
            <w:r>
              <w:rPr>
                <w:sz w:val="18"/>
              </w:rPr>
              <w:t>Indiquer l'effectif moyen d'ETP sur la période</w:t>
            </w:r>
          </w:p>
        </w:tc>
        <w:tc>
          <w:tcPr>
            <w:tcW w:type="dxa" w:w="1020"/>
          </w:tcPr>
          <w:p>
            <w:r>
              <w:rPr>
                <w:sz w:val="18"/>
              </w:rPr>
              <w:t>13 ETP</w:t>
            </w:r>
          </w:p>
        </w:tc>
        <w:tc>
          <w:tcPr>
            <w:tcW w:type="dxa" w:w="794"/>
          </w:tcPr>
          <w:p>
            <w:r>
              <w:rPr>
                <w:sz w:val="18"/>
              </w:rPr>
              <w:t>ETP</w:t>
            </w:r>
          </w:p>
        </w:tc>
        <w:tc>
          <w:tcPr>
            <w:tcW w:type="dxa" w:w="1020"/>
          </w:tcPr>
          <w:p>
            <w:r>
              <w:rPr>
                <w:sz w:val="18"/>
              </w:rPr>
              <w:t>12 ETP</w:t>
            </w:r>
          </w:p>
        </w:tc>
        <w:tc>
          <w:tcPr>
            <w:tcW w:type="dxa" w:w="567"/>
          </w:tcPr>
          <w:p>
            <w:pPr>
              <w:jc w:val="center"/>
            </w:pPr>
            <w:r>
              <w:rPr>
                <w:sz w:val="18"/>
              </w:rPr>
            </w:r>
          </w:p>
        </w:tc>
        <w:tc>
          <w:tcPr>
            <w:tcW w:type="dxa" w:w="680"/>
          </w:tcPr>
          <w:p>
            <w:r>
              <w:rPr>
                <w:sz w:val="18"/>
              </w:rPr>
              <w:t>+8.3%</w:t>
            </w:r>
          </w:p>
        </w:tc>
        <w:tc>
          <w:tcPr>
            <w:tcW w:type="dxa" w:w="850"/>
          </w:tcPr>
          <w:p>
            <w:r>
              <w:rPr>
                <w:sz w:val="18"/>
              </w:rPr>
            </w:r>
          </w:p>
        </w:tc>
        <w:tc>
          <w:tcPr>
            <w:tcW w:type="dxa" w:w="1417"/>
          </w:tcPr>
          <w:p>
            <w:r>
              <w:rPr>
                <w:sz w:val="18"/>
              </w:rPr>
            </w:r>
          </w:p>
        </w:tc>
      </w:tr>
      <w:tr>
        <w:tc>
          <w:tcPr>
            <w:tcW w:type="dxa" w:w="567"/>
          </w:tcPr>
          <w:p>
            <w:r>
              <w:rPr>
                <w:sz w:val="18"/>
              </w:rPr>
              <w:t>14</w:t>
            </w:r>
          </w:p>
        </w:tc>
        <w:tc>
          <w:tcPr>
            <w:tcW w:type="dxa" w:w="2154"/>
          </w:tcPr>
          <w:p>
            <w:r>
              <w:rPr>
                <w:sz w:val="18"/>
              </w:rPr>
              <w:t>Calcul – Taux de rotation du personnel</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14.3</w:t>
            </w:r>
          </w:p>
        </w:tc>
        <w:tc>
          <w:tcPr>
            <w:tcW w:type="dxa" w:w="2154"/>
          </w:tcPr>
          <w:p>
            <w:r>
              <w:rPr>
                <w:sz w:val="18"/>
              </w:rPr>
              <w:t>Ventilation des départs (genre, âge, région) — depuis feuille « Personnel »</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Santé et sécurité</w:t>
            </w:r>
          </w:p>
        </w:tc>
      </w:tr>
      <w:tr>
        <w:tc>
          <w:tcPr>
            <w:tcW w:type="dxa" w:w="567"/>
          </w:tcPr>
          <w:p>
            <w:r>
              <w:rPr>
                <w:sz w:val="18"/>
              </w:rPr>
              <w:t>15.1</w:t>
            </w:r>
          </w:p>
        </w:tc>
        <w:tc>
          <w:tcPr>
            <w:tcW w:type="dxa" w:w="2154"/>
          </w:tcPr>
          <w:p>
            <w:r>
              <w:rPr>
                <w:sz w:val="18"/>
              </w:rPr>
              <w:t>Calcul – Nombre total de jours d'absence (maladie + accidents du travail)</w:t>
            </w:r>
          </w:p>
        </w:tc>
        <w:tc>
          <w:tcPr>
            <w:tcW w:type="dxa" w:w="1020"/>
          </w:tcPr>
          <w:p>
            <w:r>
              <w:rPr>
                <w:sz w:val="18"/>
              </w:rPr>
              <w:t>61 jours</w:t>
            </w:r>
          </w:p>
        </w:tc>
        <w:tc>
          <w:tcPr>
            <w:tcW w:type="dxa" w:w="794"/>
          </w:tcPr>
          <w:p>
            <w:r>
              <w:rPr>
                <w:sz w:val="18"/>
              </w:rPr>
              <w:t>jours</w:t>
            </w:r>
          </w:p>
        </w:tc>
        <w:tc>
          <w:tcPr>
            <w:tcW w:type="dxa" w:w="1020"/>
          </w:tcPr>
          <w:p>
            <w:r>
              <w:rPr>
                <w:sz w:val="18"/>
              </w:rPr>
              <w:t>110 jours</w:t>
            </w:r>
          </w:p>
        </w:tc>
        <w:tc>
          <w:tcPr>
            <w:tcW w:type="dxa" w:w="567"/>
          </w:tcPr>
          <w:p>
            <w:pPr>
              <w:jc w:val="center"/>
            </w:pPr>
            <w:r>
              <w:rPr>
                <w:sz w:val="18"/>
              </w:rPr>
            </w:r>
            <w:r>
              <w:rPr>
                <w:b/>
                <w:color w:val="2E6A37"/>
                <w:sz w:val="18"/>
              </w:rPr>
              <w:t>↑</w:t>
            </w:r>
          </w:p>
        </w:tc>
        <w:tc>
          <w:tcPr>
            <w:tcW w:type="dxa" w:w="680"/>
          </w:tcPr>
          <w:p>
            <w:r>
              <w:rPr>
                <w:sz w:val="18"/>
              </w:rPr>
              <w:t>-44.5%</w:t>
            </w:r>
          </w:p>
        </w:tc>
        <w:tc>
          <w:tcPr>
            <w:tcW w:type="dxa" w:w="850"/>
          </w:tcPr>
          <w:p>
            <w:r>
              <w:rPr>
                <w:sz w:val="18"/>
              </w:rPr>
            </w:r>
          </w:p>
        </w:tc>
        <w:tc>
          <w:tcPr>
            <w:tcW w:type="dxa" w:w="1417"/>
          </w:tcPr>
          <w:p>
            <w:r>
              <w:rPr>
                <w:sz w:val="18"/>
              </w:rPr>
            </w:r>
          </w:p>
        </w:tc>
      </w:tr>
      <w:tr>
        <w:tc>
          <w:tcPr>
            <w:tcW w:type="dxa" w:w="567"/>
          </w:tcPr>
          <w:p>
            <w:r>
              <w:rPr>
                <w:sz w:val="18"/>
              </w:rPr>
              <w:t>15.2</w:t>
            </w:r>
          </w:p>
        </w:tc>
        <w:tc>
          <w:tcPr>
            <w:tcW w:type="dxa" w:w="2154"/>
          </w:tcPr>
          <w:p>
            <w:r>
              <w:rPr>
                <w:sz w:val="18"/>
              </w:rPr>
              <w:t>Nombre total de jours théoriques travaillés</w:t>
            </w:r>
          </w:p>
        </w:tc>
        <w:tc>
          <w:tcPr>
            <w:tcW w:type="dxa" w:w="1020"/>
          </w:tcPr>
          <w:p>
            <w:r>
              <w:rPr>
                <w:sz w:val="18"/>
              </w:rPr>
              <w:t>1'001 jours</w:t>
            </w:r>
          </w:p>
        </w:tc>
        <w:tc>
          <w:tcPr>
            <w:tcW w:type="dxa" w:w="794"/>
          </w:tcPr>
          <w:p>
            <w:r>
              <w:rPr>
                <w:sz w:val="18"/>
              </w:rPr>
              <w:t>jours</w:t>
            </w:r>
          </w:p>
        </w:tc>
        <w:tc>
          <w:tcPr>
            <w:tcW w:type="dxa" w:w="1020"/>
          </w:tcPr>
          <w:p>
            <w:r>
              <w:rPr>
                <w:sz w:val="18"/>
              </w:rPr>
              <w:t>1'000 jours</w:t>
            </w:r>
          </w:p>
        </w:tc>
        <w:tc>
          <w:tcPr>
            <w:tcW w:type="dxa" w:w="567"/>
          </w:tcPr>
          <w:p>
            <w:pPr>
              <w:jc w:val="center"/>
            </w:pPr>
            <w:r>
              <w:rPr>
                <w:sz w:val="18"/>
              </w:rPr>
            </w:r>
          </w:p>
        </w:tc>
        <w:tc>
          <w:tcPr>
            <w:tcW w:type="dxa" w:w="680"/>
          </w:tcPr>
          <w:p>
            <w:r>
              <w:rPr>
                <w:sz w:val="18"/>
              </w:rPr>
              <w:t>+0.1%</w:t>
            </w:r>
          </w:p>
        </w:tc>
        <w:tc>
          <w:tcPr>
            <w:tcW w:type="dxa" w:w="850"/>
          </w:tcPr>
          <w:p>
            <w:r>
              <w:rPr>
                <w:sz w:val="18"/>
              </w:rPr>
            </w:r>
          </w:p>
        </w:tc>
        <w:tc>
          <w:tcPr>
            <w:tcW w:type="dxa" w:w="1417"/>
          </w:tcPr>
          <w:p>
            <w:r>
              <w:rPr>
                <w:sz w:val="18"/>
              </w:rPr>
            </w:r>
          </w:p>
        </w:tc>
      </w:tr>
      <w:tr>
        <w:tc>
          <w:tcPr>
            <w:tcW w:type="dxa" w:w="567"/>
          </w:tcPr>
          <w:p>
            <w:r>
              <w:rPr>
                <w:sz w:val="18"/>
              </w:rPr>
              <w:t>15</w:t>
            </w:r>
          </w:p>
        </w:tc>
        <w:tc>
          <w:tcPr>
            <w:tcW w:type="dxa" w:w="2154"/>
          </w:tcPr>
          <w:p>
            <w:r>
              <w:rPr>
                <w:sz w:val="18"/>
              </w:rPr>
              <w:t>Calcul – Taux d'absentéisme</w:t>
            </w:r>
          </w:p>
        </w:tc>
        <w:tc>
          <w:tcPr>
            <w:tcW w:type="dxa" w:w="1020"/>
          </w:tcPr>
          <w:p>
            <w:r>
              <w:rPr>
                <w:sz w:val="18"/>
              </w:rPr>
              <w:t>6.1%</w:t>
            </w:r>
          </w:p>
        </w:tc>
        <w:tc>
          <w:tcPr>
            <w:tcW w:type="dxa" w:w="794"/>
          </w:tcPr>
          <w:p>
            <w:r>
              <w:rPr>
                <w:sz w:val="18"/>
              </w:rPr>
              <w:t>%</w:t>
            </w:r>
          </w:p>
        </w:tc>
        <w:tc>
          <w:tcPr>
            <w:tcW w:type="dxa" w:w="1020"/>
          </w:tcPr>
          <w:p>
            <w:r>
              <w:rPr>
                <w:sz w:val="18"/>
              </w:rPr>
              <w:t>11.0%</w:t>
            </w:r>
          </w:p>
        </w:tc>
        <w:tc>
          <w:tcPr>
            <w:tcW w:type="dxa" w:w="567"/>
          </w:tcPr>
          <w:p>
            <w:pPr>
              <w:jc w:val="center"/>
            </w:pPr>
            <w:r>
              <w:rPr>
                <w:sz w:val="18"/>
              </w:rPr>
            </w:r>
            <w:r>
              <w:rPr>
                <w:b/>
                <w:color w:val="2E6A37"/>
                <w:sz w:val="18"/>
              </w:rPr>
              <w:t>↑</w:t>
            </w:r>
          </w:p>
        </w:tc>
        <w:tc>
          <w:tcPr>
            <w:tcW w:type="dxa" w:w="680"/>
          </w:tcPr>
          <w:p>
            <w:r>
              <w:rPr>
                <w:sz w:val="18"/>
              </w:rPr>
              <w:t>-44.6%</w:t>
            </w:r>
          </w:p>
        </w:tc>
        <w:tc>
          <w:tcPr>
            <w:tcW w:type="dxa" w:w="850"/>
          </w:tcPr>
          <w:p>
            <w:r>
              <w:rPr>
                <w:sz w:val="18"/>
              </w:rPr>
            </w:r>
          </w:p>
        </w:tc>
        <w:tc>
          <w:tcPr>
            <w:tcW w:type="dxa" w:w="1417"/>
          </w:tcPr>
          <w:p>
            <w:r>
              <w:rPr>
                <w:sz w:val="18"/>
              </w:rPr>
            </w:r>
          </w:p>
        </w:tc>
      </w:tr>
      <w:tr>
        <w:tc>
          <w:tcPr>
            <w:tcW w:type="dxa" w:w="567"/>
          </w:tcPr>
          <w:p>
            <w:r>
              <w:rPr>
                <w:sz w:val="18"/>
              </w:rPr>
              <w:t>15.3.1</w:t>
            </w:r>
          </w:p>
        </w:tc>
        <w:tc>
          <w:tcPr>
            <w:tcW w:type="dxa" w:w="2154"/>
          </w:tcPr>
          <w:p>
            <w:r>
              <w:rPr>
                <w:sz w:val="18"/>
              </w:rPr>
              <w:t>Indiquer la part de jours d'absence pour maladie</w:t>
            </w:r>
          </w:p>
        </w:tc>
        <w:tc>
          <w:tcPr>
            <w:tcW w:type="dxa" w:w="1020"/>
          </w:tcPr>
          <w:p>
            <w:r>
              <w:rPr>
                <w:sz w:val="18"/>
              </w:rPr>
              <w:t>11 jours</w:t>
            </w:r>
          </w:p>
        </w:tc>
        <w:tc>
          <w:tcPr>
            <w:tcW w:type="dxa" w:w="794"/>
          </w:tcPr>
          <w:p>
            <w:r>
              <w:rPr>
                <w:sz w:val="18"/>
              </w:rPr>
              <w:t>jours</w:t>
            </w:r>
          </w:p>
        </w:tc>
        <w:tc>
          <w:tcPr>
            <w:tcW w:type="dxa" w:w="1020"/>
          </w:tcPr>
          <w:p>
            <w:r>
              <w:rPr>
                <w:sz w:val="18"/>
              </w:rPr>
              <w:t>10 jours</w:t>
            </w:r>
          </w:p>
        </w:tc>
        <w:tc>
          <w:tcPr>
            <w:tcW w:type="dxa" w:w="567"/>
          </w:tcPr>
          <w:p>
            <w:pPr>
              <w:jc w:val="center"/>
            </w:pPr>
            <w:r>
              <w:rPr>
                <w:sz w:val="18"/>
              </w:rPr>
            </w:r>
            <w:r>
              <w:rPr>
                <w:b/>
                <w:color w:val="823535"/>
                <w:sz w:val="18"/>
              </w:rPr>
              <w:t>↓</w:t>
            </w:r>
          </w:p>
        </w:tc>
        <w:tc>
          <w:tcPr>
            <w:tcW w:type="dxa" w:w="680"/>
          </w:tcPr>
          <w:p>
            <w:r>
              <w:rPr>
                <w:sz w:val="18"/>
              </w:rPr>
              <w:t>+10.0%</w:t>
            </w:r>
          </w:p>
        </w:tc>
        <w:tc>
          <w:tcPr>
            <w:tcW w:type="dxa" w:w="850"/>
          </w:tcPr>
          <w:p>
            <w:r>
              <w:rPr>
                <w:sz w:val="18"/>
              </w:rPr>
            </w:r>
          </w:p>
        </w:tc>
        <w:tc>
          <w:tcPr>
            <w:tcW w:type="dxa" w:w="1417"/>
          </w:tcPr>
          <w:p>
            <w:r>
              <w:rPr>
                <w:sz w:val="18"/>
              </w:rPr>
            </w:r>
          </w:p>
        </w:tc>
      </w:tr>
      <w:tr>
        <w:tc>
          <w:tcPr>
            <w:tcW w:type="dxa" w:w="567"/>
          </w:tcPr>
          <w:p>
            <w:r>
              <w:rPr>
                <w:sz w:val="18"/>
              </w:rPr>
              <w:t>15.3</w:t>
            </w:r>
          </w:p>
        </w:tc>
        <w:tc>
          <w:tcPr>
            <w:tcW w:type="dxa" w:w="2154"/>
          </w:tcPr>
          <w:p>
            <w:r>
              <w:rPr>
                <w:sz w:val="18"/>
              </w:rPr>
              <w:t>Calcul – Part liée à la maladie</w:t>
            </w:r>
          </w:p>
        </w:tc>
        <w:tc>
          <w:tcPr>
            <w:tcW w:type="dxa" w:w="1020"/>
          </w:tcPr>
          <w:p>
            <w:r>
              <w:rPr>
                <w:sz w:val="18"/>
              </w:rPr>
              <w:t>18.0%</w:t>
            </w:r>
          </w:p>
        </w:tc>
        <w:tc>
          <w:tcPr>
            <w:tcW w:type="dxa" w:w="794"/>
          </w:tcPr>
          <w:p>
            <w:r>
              <w:rPr>
                <w:sz w:val="18"/>
              </w:rPr>
              <w:t>%</w:t>
            </w:r>
          </w:p>
        </w:tc>
        <w:tc>
          <w:tcPr>
            <w:tcW w:type="dxa" w:w="1020"/>
          </w:tcPr>
          <w:p>
            <w:r>
              <w:rPr>
                <w:sz w:val="18"/>
              </w:rPr>
              <w:t>9.1%</w:t>
            </w:r>
          </w:p>
        </w:tc>
        <w:tc>
          <w:tcPr>
            <w:tcW w:type="dxa" w:w="567"/>
          </w:tcPr>
          <w:p>
            <w:pPr>
              <w:jc w:val="center"/>
            </w:pPr>
            <w:r>
              <w:rPr>
                <w:sz w:val="18"/>
              </w:rPr>
            </w:r>
            <w:r>
              <w:rPr>
                <w:b/>
                <w:color w:val="823535"/>
                <w:sz w:val="18"/>
              </w:rPr>
              <w:t>↓</w:t>
            </w:r>
          </w:p>
        </w:tc>
        <w:tc>
          <w:tcPr>
            <w:tcW w:type="dxa" w:w="680"/>
          </w:tcPr>
          <w:p>
            <w:r>
              <w:rPr>
                <w:sz w:val="18"/>
              </w:rPr>
              <w:t>+98.4%</w:t>
            </w:r>
          </w:p>
        </w:tc>
        <w:tc>
          <w:tcPr>
            <w:tcW w:type="dxa" w:w="850"/>
          </w:tcPr>
          <w:p>
            <w:r>
              <w:rPr>
                <w:sz w:val="18"/>
              </w:rPr>
            </w:r>
          </w:p>
        </w:tc>
        <w:tc>
          <w:tcPr>
            <w:tcW w:type="dxa" w:w="1417"/>
          </w:tcPr>
          <w:p>
            <w:r>
              <w:rPr>
                <w:sz w:val="18"/>
              </w:rPr>
            </w:r>
          </w:p>
        </w:tc>
      </w:tr>
      <w:tr>
        <w:tc>
          <w:tcPr>
            <w:tcW w:type="dxa" w:w="567"/>
          </w:tcPr>
          <w:p>
            <w:r>
              <w:rPr>
                <w:sz w:val="18"/>
              </w:rPr>
              <w:t>15.4.1</w:t>
            </w:r>
          </w:p>
        </w:tc>
        <w:tc>
          <w:tcPr>
            <w:tcW w:type="dxa" w:w="2154"/>
          </w:tcPr>
          <w:p>
            <w:r>
              <w:rPr>
                <w:sz w:val="18"/>
              </w:rPr>
              <w:t>Indiquer la part de jours d'absence pour accidents du travail</w:t>
            </w:r>
          </w:p>
        </w:tc>
        <w:tc>
          <w:tcPr>
            <w:tcW w:type="dxa" w:w="1020"/>
          </w:tcPr>
          <w:p>
            <w:r>
              <w:rPr>
                <w:sz w:val="18"/>
              </w:rPr>
              <w:t>50 jours</w:t>
            </w:r>
          </w:p>
        </w:tc>
        <w:tc>
          <w:tcPr>
            <w:tcW w:type="dxa" w:w="794"/>
          </w:tcPr>
          <w:p>
            <w:r>
              <w:rPr>
                <w:sz w:val="18"/>
              </w:rPr>
              <w:t>jours</w:t>
            </w:r>
          </w:p>
        </w:tc>
        <w:tc>
          <w:tcPr>
            <w:tcW w:type="dxa" w:w="1020"/>
          </w:tcPr>
          <w:p>
            <w:r>
              <w:rPr>
                <w:sz w:val="18"/>
              </w:rPr>
              <w:t>100 jours</w:t>
            </w:r>
          </w:p>
        </w:tc>
        <w:tc>
          <w:tcPr>
            <w:tcW w:type="dxa" w:w="567"/>
          </w:tcPr>
          <w:p>
            <w:pPr>
              <w:jc w:val="center"/>
            </w:pPr>
            <w:r>
              <w:rPr>
                <w:sz w:val="18"/>
              </w:rPr>
            </w:r>
            <w:r>
              <w:rPr>
                <w:b/>
                <w:color w:val="2E6A37"/>
                <w:sz w:val="18"/>
              </w:rPr>
              <w:t>↑</w:t>
            </w:r>
          </w:p>
        </w:tc>
        <w:tc>
          <w:tcPr>
            <w:tcW w:type="dxa" w:w="680"/>
          </w:tcPr>
          <w:p>
            <w:r>
              <w:rPr>
                <w:sz w:val="18"/>
              </w:rPr>
              <w:t>-50.0%</w:t>
            </w:r>
          </w:p>
        </w:tc>
        <w:tc>
          <w:tcPr>
            <w:tcW w:type="dxa" w:w="850"/>
          </w:tcPr>
          <w:p>
            <w:r>
              <w:rPr>
                <w:sz w:val="18"/>
              </w:rPr>
            </w:r>
          </w:p>
        </w:tc>
        <w:tc>
          <w:tcPr>
            <w:tcW w:type="dxa" w:w="1417"/>
          </w:tcPr>
          <w:p>
            <w:r>
              <w:rPr>
                <w:sz w:val="18"/>
              </w:rPr>
            </w:r>
          </w:p>
        </w:tc>
      </w:tr>
      <w:tr>
        <w:tc>
          <w:tcPr>
            <w:tcW w:type="dxa" w:w="567"/>
          </w:tcPr>
          <w:p>
            <w:r>
              <w:rPr>
                <w:sz w:val="18"/>
              </w:rPr>
              <w:t>15.4</w:t>
            </w:r>
          </w:p>
        </w:tc>
        <w:tc>
          <w:tcPr>
            <w:tcW w:type="dxa" w:w="2154"/>
          </w:tcPr>
          <w:p>
            <w:r>
              <w:rPr>
                <w:sz w:val="18"/>
              </w:rPr>
              <w:t>Calcul – Part liée aux accidents du travail</w:t>
            </w:r>
          </w:p>
        </w:tc>
        <w:tc>
          <w:tcPr>
            <w:tcW w:type="dxa" w:w="1020"/>
          </w:tcPr>
          <w:p>
            <w:r>
              <w:rPr>
                <w:sz w:val="18"/>
              </w:rPr>
              <w:t>82.0%</w:t>
            </w:r>
          </w:p>
        </w:tc>
        <w:tc>
          <w:tcPr>
            <w:tcW w:type="dxa" w:w="794"/>
          </w:tcPr>
          <w:p>
            <w:r>
              <w:rPr>
                <w:sz w:val="18"/>
              </w:rPr>
              <w:t>%</w:t>
            </w:r>
          </w:p>
        </w:tc>
        <w:tc>
          <w:tcPr>
            <w:tcW w:type="dxa" w:w="1020"/>
          </w:tcPr>
          <w:p>
            <w:r>
              <w:rPr>
                <w:sz w:val="18"/>
              </w:rPr>
              <w:t>90.9%</w:t>
            </w:r>
          </w:p>
        </w:tc>
        <w:tc>
          <w:tcPr>
            <w:tcW w:type="dxa" w:w="567"/>
          </w:tcPr>
          <w:p>
            <w:pPr>
              <w:jc w:val="center"/>
            </w:pPr>
            <w:r>
              <w:rPr>
                <w:sz w:val="18"/>
              </w:rPr>
            </w:r>
            <w:r>
              <w:rPr>
                <w:b/>
                <w:color w:val="2E6A37"/>
                <w:sz w:val="18"/>
              </w:rPr>
              <w:t>↑</w:t>
            </w:r>
          </w:p>
        </w:tc>
        <w:tc>
          <w:tcPr>
            <w:tcW w:type="dxa" w:w="680"/>
          </w:tcPr>
          <w:p>
            <w:r>
              <w:rPr>
                <w:sz w:val="18"/>
              </w:rPr>
              <w:t>-9.8%</w:t>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Rémunération</w:t>
            </w:r>
          </w:p>
        </w:tc>
      </w:tr>
      <w:tr>
        <w:tc>
          <w:tcPr>
            <w:tcW w:type="dxa" w:w="567"/>
          </w:tcPr>
          <w:p>
            <w:r>
              <w:rPr>
                <w:sz w:val="18"/>
              </w:rPr>
              <w:t>16</w:t>
            </w:r>
          </w:p>
        </w:tc>
        <w:tc>
          <w:tcPr>
            <w:tcW w:type="dxa" w:w="2154"/>
          </w:tcPr>
          <w:p>
            <w:r>
              <w:rPr>
                <w:sz w:val="18"/>
              </w:rPr>
              <w:t>Décrire la politique de l'entreprise en terme de gestion du personnel (recrutement, promotion, formation) et de rémunération.</w:t>
            </w:r>
          </w:p>
        </w:tc>
        <w:tc>
          <w:tcPr>
            <w:tcW w:type="dxa" w:w="1020"/>
          </w:tcPr>
          <w:p>
            <w:r>
              <w:rPr>
                <w:sz w:val="18"/>
              </w:rPr>
              <w:t>formation</w:t>
            </w:r>
          </w:p>
        </w:tc>
        <w:tc>
          <w:tcPr>
            <w:tcW w:type="dxa" w:w="794"/>
          </w:tcPr>
          <w:p>
            <w:r>
              <w:rPr>
                <w:sz w:val="18"/>
              </w:rPr>
            </w:r>
          </w:p>
        </w:tc>
        <w:tc>
          <w:tcPr>
            <w:tcW w:type="dxa" w:w="1020"/>
          </w:tcPr>
          <w:p>
            <w:r>
              <w:rPr>
                <w:sz w:val="18"/>
              </w:rPr>
              <w:t>formation</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17.1.1</w:t>
            </w:r>
          </w:p>
        </w:tc>
        <w:tc>
          <w:tcPr>
            <w:tcW w:type="dxa" w:w="2154"/>
          </w:tcPr>
          <w:p>
            <w:r>
              <w:rPr>
                <w:sz w:val="18"/>
              </w:rPr>
              <w:t>Indiquer la moyenne du salaire horaire brut des hommes travaillant dans l'entreprise</w:t>
            </w:r>
          </w:p>
        </w:tc>
        <w:tc>
          <w:tcPr>
            <w:tcW w:type="dxa" w:w="1020"/>
          </w:tcPr>
          <w:p>
            <w:r>
              <w:rPr>
                <w:sz w:val="18"/>
              </w:rPr>
              <w:t>—</w:t>
            </w:r>
          </w:p>
        </w:tc>
        <w:tc>
          <w:tcPr>
            <w:tcW w:type="dxa" w:w="794"/>
          </w:tcPr>
          <w:p>
            <w:r>
              <w:rPr>
                <w:sz w:val="18"/>
              </w:rPr>
              <w:t>CHF</w:t>
            </w:r>
          </w:p>
        </w:tc>
        <w:tc>
          <w:tcPr>
            <w:tcW w:type="dxa" w:w="1020"/>
          </w:tcPr>
          <w:p>
            <w:r>
              <w:rPr>
                <w:sz w:val="18"/>
              </w:rPr>
              <w:t>80'000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17.1.2</w:t>
            </w:r>
          </w:p>
        </w:tc>
        <w:tc>
          <w:tcPr>
            <w:tcW w:type="dxa" w:w="2154"/>
          </w:tcPr>
          <w:p>
            <w:r>
              <w:rPr>
                <w:sz w:val="18"/>
              </w:rPr>
              <w:t>Indiquer la moyenne du salaire horaire brut des femmes travaillant dans l'entreprise</w:t>
            </w:r>
          </w:p>
        </w:tc>
        <w:tc>
          <w:tcPr>
            <w:tcW w:type="dxa" w:w="1020"/>
          </w:tcPr>
          <w:p>
            <w:r>
              <w:rPr>
                <w:sz w:val="18"/>
              </w:rPr>
              <w:t>—</w:t>
            </w:r>
          </w:p>
        </w:tc>
        <w:tc>
          <w:tcPr>
            <w:tcW w:type="dxa" w:w="794"/>
          </w:tcPr>
          <w:p>
            <w:r>
              <w:rPr>
                <w:sz w:val="18"/>
              </w:rPr>
              <w:t>CHF</w:t>
            </w:r>
          </w:p>
        </w:tc>
        <w:tc>
          <w:tcPr>
            <w:tcW w:type="dxa" w:w="1020"/>
          </w:tcPr>
          <w:p>
            <w:r>
              <w:rPr>
                <w:sz w:val="18"/>
              </w:rPr>
              <w:t>82'000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17.1</w:t>
            </w:r>
          </w:p>
        </w:tc>
        <w:tc>
          <w:tcPr>
            <w:tcW w:type="dxa" w:w="2154"/>
          </w:tcPr>
          <w:p>
            <w:r>
              <w:rPr>
                <w:sz w:val="18"/>
              </w:rPr>
              <w:t>Calcul – Écart salarial F/H (positif = H &gt; F)</w:t>
            </w:r>
          </w:p>
        </w:tc>
        <w:tc>
          <w:tcPr>
            <w:tcW w:type="dxa" w:w="1020"/>
          </w:tcPr>
          <w:p>
            <w:r>
              <w:rPr>
                <w:sz w:val="18"/>
              </w:rPr>
              <w:t>—</w:t>
            </w:r>
          </w:p>
        </w:tc>
        <w:tc>
          <w:tcPr>
            <w:tcW w:type="dxa" w:w="794"/>
          </w:tcPr>
          <w:p>
            <w:r>
              <w:rPr>
                <w:sz w:val="18"/>
              </w:rPr>
              <w:t>%</w:t>
            </w:r>
          </w:p>
        </w:tc>
        <w:tc>
          <w:tcPr>
            <w:tcW w:type="dxa" w:w="1020"/>
          </w:tcPr>
          <w:p>
            <w:r>
              <w:rPr>
                <w:sz w:val="18"/>
              </w:rPr>
              <w:t>-2.5%</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17.2.1</w:t>
            </w:r>
          </w:p>
        </w:tc>
        <w:tc>
          <w:tcPr>
            <w:tcW w:type="dxa" w:w="2154"/>
          </w:tcPr>
          <w:p>
            <w:r>
              <w:rPr>
                <w:sz w:val="18"/>
              </w:rPr>
              <w:t>Indiquer le salaire médian annuel de l'entreprise par type de profil.</w:t>
            </w:r>
          </w:p>
        </w:tc>
        <w:tc>
          <w:tcPr>
            <w:tcW w:type="dxa" w:w="1020"/>
          </w:tcPr>
          <w:p>
            <w:r>
              <w:rPr>
                <w:sz w:val="18"/>
              </w:rPr>
              <w:t>—</w:t>
            </w:r>
          </w:p>
        </w:tc>
        <w:tc>
          <w:tcPr>
            <w:tcW w:type="dxa" w:w="794"/>
          </w:tcPr>
          <w:p>
            <w:r>
              <w:rPr>
                <w:sz w:val="18"/>
              </w:rPr>
              <w:t>CHF</w:t>
            </w:r>
          </w:p>
        </w:tc>
        <w:tc>
          <w:tcPr>
            <w:tcW w:type="dxa" w:w="1020"/>
          </w:tcPr>
          <w:p>
            <w:r>
              <w:rPr>
                <w:sz w:val="18"/>
              </w:rPr>
              <w:t>79'000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17.2.2</w:t>
            </w:r>
          </w:p>
        </w:tc>
        <w:tc>
          <w:tcPr>
            <w:tcW w:type="dxa" w:w="2154"/>
          </w:tcPr>
          <w:p>
            <w:r>
              <w:rPr>
                <w:sz w:val="18"/>
              </w:rPr>
              <w:t>Indiquer le salaire médian annuel de la branche d'activité.</w:t>
            </w:r>
          </w:p>
        </w:tc>
        <w:tc>
          <w:tcPr>
            <w:tcW w:type="dxa" w:w="1020"/>
          </w:tcPr>
          <w:p>
            <w:r>
              <w:rPr>
                <w:sz w:val="18"/>
              </w:rPr>
              <w:t>—</w:t>
            </w:r>
          </w:p>
        </w:tc>
        <w:tc>
          <w:tcPr>
            <w:tcW w:type="dxa" w:w="794"/>
          </w:tcPr>
          <w:p>
            <w:r>
              <w:rPr>
                <w:sz w:val="18"/>
              </w:rPr>
              <w:t>CHF</w:t>
            </w:r>
          </w:p>
        </w:tc>
        <w:tc>
          <w:tcPr>
            <w:tcW w:type="dxa" w:w="1020"/>
          </w:tcPr>
          <w:p>
            <w:r>
              <w:rPr>
                <w:sz w:val="18"/>
              </w:rPr>
              <w:t>75'000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17.2</w:t>
            </w:r>
          </w:p>
        </w:tc>
        <w:tc>
          <w:tcPr>
            <w:tcW w:type="dxa" w:w="2154"/>
          </w:tcPr>
          <w:p>
            <w:r>
              <w:rPr>
                <w:sz w:val="18"/>
              </w:rPr>
              <w:t>Calcul – Écart par rapport à la branche d'activité (positif = entreprise &gt; branche)</w:t>
            </w:r>
          </w:p>
        </w:tc>
        <w:tc>
          <w:tcPr>
            <w:tcW w:type="dxa" w:w="1020"/>
          </w:tcPr>
          <w:p>
            <w:r>
              <w:rPr>
                <w:sz w:val="18"/>
              </w:rPr>
              <w:t>—</w:t>
            </w:r>
          </w:p>
        </w:tc>
        <w:tc>
          <w:tcPr>
            <w:tcW w:type="dxa" w:w="794"/>
          </w:tcPr>
          <w:p>
            <w:r>
              <w:rPr>
                <w:sz w:val="18"/>
              </w:rPr>
              <w:t>%</w:t>
            </w:r>
          </w:p>
        </w:tc>
        <w:tc>
          <w:tcPr>
            <w:tcW w:type="dxa" w:w="1020"/>
          </w:tcPr>
          <w:p>
            <w:r>
              <w:rPr>
                <w:sz w:val="18"/>
              </w:rPr>
              <w:t>5.3%</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17.3.1</w:t>
            </w:r>
          </w:p>
        </w:tc>
        <w:tc>
          <w:tcPr>
            <w:tcW w:type="dxa" w:w="2154"/>
          </w:tcPr>
          <w:p>
            <w:r>
              <w:rPr>
                <w:sz w:val="18"/>
              </w:rPr>
              <w:t>Indiquer la rémunération totale annuelle la plus élevée (bonus inclus)</w:t>
            </w:r>
          </w:p>
        </w:tc>
        <w:tc>
          <w:tcPr>
            <w:tcW w:type="dxa" w:w="1020"/>
          </w:tcPr>
          <w:p>
            <w:r>
              <w:rPr>
                <w:sz w:val="18"/>
              </w:rPr>
              <w:t>—</w:t>
            </w:r>
          </w:p>
        </w:tc>
        <w:tc>
          <w:tcPr>
            <w:tcW w:type="dxa" w:w="794"/>
          </w:tcPr>
          <w:p>
            <w:r>
              <w:rPr>
                <w:sz w:val="18"/>
              </w:rPr>
              <w:t>CHF</w:t>
            </w:r>
          </w:p>
        </w:tc>
        <w:tc>
          <w:tcPr>
            <w:tcW w:type="dxa" w:w="1020"/>
          </w:tcPr>
          <w:p>
            <w:r>
              <w:rPr>
                <w:sz w:val="18"/>
              </w:rPr>
              <w:t>110'000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17.3.2</w:t>
            </w:r>
          </w:p>
        </w:tc>
        <w:tc>
          <w:tcPr>
            <w:tcW w:type="dxa" w:w="2154"/>
          </w:tcPr>
          <w:p>
            <w:r>
              <w:rPr>
                <w:sz w:val="18"/>
              </w:rPr>
              <w:t>Indiquer la rémunération totale annuelle la plus faible à temps plein</w:t>
            </w:r>
          </w:p>
        </w:tc>
        <w:tc>
          <w:tcPr>
            <w:tcW w:type="dxa" w:w="1020"/>
          </w:tcPr>
          <w:p>
            <w:r>
              <w:rPr>
                <w:sz w:val="18"/>
              </w:rPr>
              <w:t>—</w:t>
            </w:r>
          </w:p>
        </w:tc>
        <w:tc>
          <w:tcPr>
            <w:tcW w:type="dxa" w:w="794"/>
          </w:tcPr>
          <w:p>
            <w:r>
              <w:rPr>
                <w:sz w:val="18"/>
              </w:rPr>
              <w:t>CHF</w:t>
            </w:r>
          </w:p>
        </w:tc>
        <w:tc>
          <w:tcPr>
            <w:tcW w:type="dxa" w:w="1020"/>
          </w:tcPr>
          <w:p>
            <w:r>
              <w:rPr>
                <w:sz w:val="18"/>
              </w:rPr>
              <w:t>50'000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17.3</w:t>
            </w:r>
          </w:p>
        </w:tc>
        <w:tc>
          <w:tcPr>
            <w:tcW w:type="dxa" w:w="2154"/>
          </w:tcPr>
          <w:p>
            <w:r>
              <w:rPr>
                <w:sz w:val="18"/>
              </w:rPr>
              <w:t>Calcul – Multiplicateur de rémunération (max / min)</w:t>
            </w:r>
          </w:p>
        </w:tc>
        <w:tc>
          <w:tcPr>
            <w:tcW w:type="dxa" w:w="1020"/>
          </w:tcPr>
          <w:p>
            <w:r>
              <w:rPr>
                <w:sz w:val="18"/>
              </w:rPr>
              <w:t>—</w:t>
            </w:r>
          </w:p>
        </w:tc>
        <w:tc>
          <w:tcPr>
            <w:tcW w:type="dxa" w:w="794"/>
          </w:tcPr>
          <w:p>
            <w:r>
              <w:rPr>
                <w:sz w:val="18"/>
              </w:rPr>
              <w:t>ratio</w:t>
            </w:r>
          </w:p>
        </w:tc>
        <w:tc>
          <w:tcPr>
            <w:tcW w:type="dxa" w:w="1020"/>
          </w:tcPr>
          <w:p>
            <w:r>
              <w:rPr>
                <w:sz w:val="18"/>
              </w:rPr>
              <w:t>2.20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Formation</w:t>
            </w:r>
          </w:p>
        </w:tc>
      </w:tr>
      <w:tr>
        <w:tc>
          <w:tcPr>
            <w:tcW w:type="dxa" w:w="567"/>
          </w:tcPr>
          <w:p>
            <w:r>
              <w:rPr>
                <w:sz w:val="18"/>
              </w:rPr>
              <w:t>18.0</w:t>
            </w:r>
          </w:p>
        </w:tc>
        <w:tc>
          <w:tcPr>
            <w:tcW w:type="dxa" w:w="2154"/>
          </w:tcPr>
          <w:p>
            <w:r>
              <w:rPr>
                <w:sz w:val="18"/>
              </w:rPr>
              <w:t>Objectif d'heures de formation (% du temps de travail).</w:t>
            </w:r>
          </w:p>
        </w:tc>
        <w:tc>
          <w:tcPr>
            <w:tcW w:type="dxa" w:w="1020"/>
          </w:tcPr>
          <w:p>
            <w:r>
              <w:rPr>
                <w:sz w:val="18"/>
              </w:rPr>
              <w:t>—</w:t>
            </w:r>
          </w:p>
        </w:tc>
        <w:tc>
          <w:tcPr>
            <w:tcW w:type="dxa" w:w="794"/>
          </w:tcPr>
          <w:p>
            <w:r>
              <w:rPr>
                <w:sz w:val="18"/>
              </w:rPr>
              <w:t>%</w:t>
            </w:r>
          </w:p>
        </w:tc>
        <w:tc>
          <w:tcPr>
            <w:tcW w:type="dxa" w:w="1020"/>
          </w:tcPr>
          <w:p>
            <w:r>
              <w:rPr>
                <w:sz w:val="18"/>
              </w:rPr>
              <w:t>10.0%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18.B</w:t>
            </w:r>
          </w:p>
        </w:tc>
        <w:tc>
          <w:tcPr>
            <w:tcW w:type="dxa" w:w="2154"/>
          </w:tcPr>
          <w:p>
            <w:r>
              <w:rPr>
                <w:sz w:val="18"/>
              </w:rPr>
              <w:t>Heures contractuelles annuelles par ETP.</w:t>
            </w:r>
          </w:p>
        </w:tc>
        <w:tc>
          <w:tcPr>
            <w:tcW w:type="dxa" w:w="1020"/>
          </w:tcPr>
          <w:p>
            <w:r>
              <w:rPr>
                <w:sz w:val="18"/>
              </w:rPr>
              <w:t>—</w:t>
            </w:r>
          </w:p>
        </w:tc>
        <w:tc>
          <w:tcPr>
            <w:tcW w:type="dxa" w:w="794"/>
          </w:tcPr>
          <w:p>
            <w:r>
              <w:rPr>
                <w:sz w:val="18"/>
              </w:rPr>
              <w:t>heures</w:t>
            </w:r>
          </w:p>
        </w:tc>
        <w:tc>
          <w:tcPr>
            <w:tcW w:type="dxa" w:w="1020"/>
          </w:tcPr>
          <w:p>
            <w:r>
              <w:rPr>
                <w:sz w:val="18"/>
              </w:rPr>
              <w:t>2'000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18.C</w:t>
            </w:r>
          </w:p>
        </w:tc>
        <w:tc>
          <w:tcPr>
            <w:tcW w:type="dxa" w:w="2154"/>
          </w:tcPr>
          <w:p>
            <w:r>
              <w:rPr>
                <w:sz w:val="18"/>
              </w:rPr>
              <w:t>Calcul – Volume théorique annuel d'heures de travail (= 0.10 × 18.B)</w:t>
            </w:r>
          </w:p>
        </w:tc>
        <w:tc>
          <w:tcPr>
            <w:tcW w:type="dxa" w:w="1020"/>
          </w:tcPr>
          <w:p>
            <w:r>
              <w:rPr>
                <w:sz w:val="18"/>
              </w:rPr>
              <w:t>—</w:t>
            </w:r>
          </w:p>
        </w:tc>
        <w:tc>
          <w:tcPr>
            <w:tcW w:type="dxa" w:w="794"/>
          </w:tcPr>
          <w:p>
            <w:r>
              <w:rPr>
                <w:sz w:val="18"/>
              </w:rPr>
              <w:t>heures</w:t>
            </w:r>
          </w:p>
        </w:tc>
        <w:tc>
          <w:tcPr>
            <w:tcW w:type="dxa" w:w="1020"/>
          </w:tcPr>
          <w:p>
            <w:r>
              <w:rPr>
                <w:sz w:val="18"/>
              </w:rPr>
              <w:t>10'000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18.D</w:t>
            </w:r>
          </w:p>
        </w:tc>
        <w:tc>
          <w:tcPr>
            <w:tcW w:type="dxa" w:w="2154"/>
          </w:tcPr>
          <w:p>
            <w:r>
              <w:rPr>
                <w:sz w:val="18"/>
              </w:rPr>
              <w:t>Heures de formation suivies — femmes.</w:t>
            </w:r>
          </w:p>
        </w:tc>
        <w:tc>
          <w:tcPr>
            <w:tcW w:type="dxa" w:w="1020"/>
          </w:tcPr>
          <w:p>
            <w:r>
              <w:rPr>
                <w:sz w:val="18"/>
              </w:rPr>
              <w:t>—</w:t>
            </w:r>
          </w:p>
        </w:tc>
        <w:tc>
          <w:tcPr>
            <w:tcW w:type="dxa" w:w="794"/>
          </w:tcPr>
          <w:p>
            <w:r>
              <w:rPr>
                <w:sz w:val="18"/>
              </w:rPr>
              <w:t>heures</w:t>
            </w:r>
          </w:p>
        </w:tc>
        <w:tc>
          <w:tcPr>
            <w:tcW w:type="dxa" w:w="1020"/>
          </w:tcPr>
          <w:p>
            <w:r>
              <w:rPr>
                <w:sz w:val="18"/>
              </w:rPr>
              <w:t>100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18.E</w:t>
            </w:r>
          </w:p>
        </w:tc>
        <w:tc>
          <w:tcPr>
            <w:tcW w:type="dxa" w:w="2154"/>
          </w:tcPr>
          <w:p>
            <w:r>
              <w:rPr>
                <w:sz w:val="18"/>
              </w:rPr>
              <w:t>Heures de formation suivies — hommes.</w:t>
            </w:r>
          </w:p>
        </w:tc>
        <w:tc>
          <w:tcPr>
            <w:tcW w:type="dxa" w:w="1020"/>
          </w:tcPr>
          <w:p>
            <w:r>
              <w:rPr>
                <w:sz w:val="18"/>
              </w:rPr>
              <w:t>—</w:t>
            </w:r>
          </w:p>
        </w:tc>
        <w:tc>
          <w:tcPr>
            <w:tcW w:type="dxa" w:w="794"/>
          </w:tcPr>
          <w:p>
            <w:r>
              <w:rPr>
                <w:sz w:val="18"/>
              </w:rPr>
              <w:t>heures</w:t>
            </w:r>
          </w:p>
        </w:tc>
        <w:tc>
          <w:tcPr>
            <w:tcW w:type="dxa" w:w="1020"/>
          </w:tcPr>
          <w:p>
            <w:r>
              <w:rPr>
                <w:sz w:val="18"/>
              </w:rPr>
              <w:t>40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18.F</w:t>
            </w:r>
          </w:p>
        </w:tc>
        <w:tc>
          <w:tcPr>
            <w:tcW w:type="dxa" w:w="2154"/>
          </w:tcPr>
          <w:p>
            <w:r>
              <w:rPr>
                <w:sz w:val="18"/>
              </w:rPr>
              <w:t>Heures de formation suivies — autres catégories.</w:t>
            </w:r>
          </w:p>
        </w:tc>
        <w:tc>
          <w:tcPr>
            <w:tcW w:type="dxa" w:w="1020"/>
          </w:tcPr>
          <w:p>
            <w:r>
              <w:rPr>
                <w:sz w:val="18"/>
              </w:rPr>
              <w:t>—</w:t>
            </w:r>
          </w:p>
        </w:tc>
        <w:tc>
          <w:tcPr>
            <w:tcW w:type="dxa" w:w="794"/>
          </w:tcPr>
          <w:p>
            <w:r>
              <w:rPr>
                <w:sz w:val="18"/>
              </w:rPr>
              <w:t>heures</w:t>
            </w:r>
          </w:p>
        </w:tc>
        <w:tc>
          <w:tcPr>
            <w:tcW w:type="dxa" w:w="1020"/>
          </w:tcPr>
          <w:p>
            <w:r>
              <w:rPr>
                <w:sz w:val="18"/>
              </w:rPr>
              <w:t>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18.G</w:t>
            </w:r>
          </w:p>
        </w:tc>
        <w:tc>
          <w:tcPr>
            <w:tcW w:type="dxa" w:w="2154"/>
          </w:tcPr>
          <w:p>
            <w:r>
              <w:rPr>
                <w:sz w:val="18"/>
              </w:rPr>
              <w:t>Calcul – Total des heures de formation suivies</w:t>
            </w:r>
          </w:p>
        </w:tc>
        <w:tc>
          <w:tcPr>
            <w:tcW w:type="dxa" w:w="1020"/>
          </w:tcPr>
          <w:p>
            <w:r>
              <w:rPr>
                <w:sz w:val="18"/>
              </w:rPr>
              <w:t>—</w:t>
            </w:r>
          </w:p>
        </w:tc>
        <w:tc>
          <w:tcPr>
            <w:tcW w:type="dxa" w:w="794"/>
          </w:tcPr>
          <w:p>
            <w:r>
              <w:rPr>
                <w:sz w:val="18"/>
              </w:rPr>
              <w:t>heures</w:t>
            </w:r>
          </w:p>
        </w:tc>
        <w:tc>
          <w:tcPr>
            <w:tcW w:type="dxa" w:w="1020"/>
          </w:tcPr>
          <w:p>
            <w:r>
              <w:rPr>
                <w:sz w:val="18"/>
              </w:rPr>
              <w:t>140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18.1</w:t>
            </w:r>
          </w:p>
        </w:tc>
        <w:tc>
          <w:tcPr>
            <w:tcW w:type="dxa" w:w="2154"/>
          </w:tcPr>
          <w:p>
            <w:r>
              <w:rPr>
                <w:sz w:val="18"/>
              </w:rPr>
              <w:t>Calcul – Part (%) d'heures de formation par rapport au total des heures travaillées (= 18.G / 18.C)</w:t>
            </w:r>
          </w:p>
        </w:tc>
        <w:tc>
          <w:tcPr>
            <w:tcW w:type="dxa" w:w="1020"/>
          </w:tcPr>
          <w:p>
            <w:r>
              <w:rPr>
                <w:sz w:val="18"/>
              </w:rPr>
              <w:t>—</w:t>
            </w:r>
          </w:p>
        </w:tc>
        <w:tc>
          <w:tcPr>
            <w:tcW w:type="dxa" w:w="794"/>
          </w:tcPr>
          <w:p>
            <w:r>
              <w:rPr>
                <w:sz w:val="18"/>
              </w:rPr>
              <w:t>%</w:t>
            </w:r>
          </w:p>
        </w:tc>
        <w:tc>
          <w:tcPr>
            <w:tcW w:type="dxa" w:w="1020"/>
          </w:tcPr>
          <w:p>
            <w:r>
              <w:rPr>
                <w:sz w:val="18"/>
              </w:rPr>
              <w:t>1.4%</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18.2</w:t>
            </w:r>
          </w:p>
        </w:tc>
        <w:tc>
          <w:tcPr>
            <w:tcW w:type="dxa" w:w="2154"/>
          </w:tcPr>
          <w:p>
            <w:r>
              <w:rPr>
                <w:sz w:val="18"/>
              </w:rPr>
              <w:t>Calcul – Taux d'atteinte de l'objectif de formation (= 18.1 / 18.0)</w:t>
            </w:r>
          </w:p>
        </w:tc>
        <w:tc>
          <w:tcPr>
            <w:tcW w:type="dxa" w:w="1020"/>
          </w:tcPr>
          <w:p>
            <w:r>
              <w:rPr>
                <w:sz w:val="18"/>
              </w:rPr>
              <w:t>—</w:t>
            </w:r>
          </w:p>
        </w:tc>
        <w:tc>
          <w:tcPr>
            <w:tcW w:type="dxa" w:w="794"/>
          </w:tcPr>
          <w:p>
            <w:r>
              <w:rPr>
                <w:sz w:val="18"/>
              </w:rPr>
              <w:t>%</w:t>
            </w:r>
          </w:p>
        </w:tc>
        <w:tc>
          <w:tcPr>
            <w:tcW w:type="dxa" w:w="1020"/>
          </w:tcPr>
          <w:p>
            <w:r>
              <w:rPr>
                <w:sz w:val="18"/>
              </w:rPr>
              <w:t>14.0%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18.3</w:t>
            </w:r>
          </w:p>
        </w:tc>
        <w:tc>
          <w:tcPr>
            <w:tcW w:type="dxa" w:w="2154"/>
          </w:tcPr>
          <w:p>
            <w:r>
              <w:rPr>
                <w:sz w:val="18"/>
              </w:rPr>
              <w:t>Indiquer le budget consacré à la formation et au développement des compétences.</w:t>
            </w:r>
          </w:p>
        </w:tc>
        <w:tc>
          <w:tcPr>
            <w:tcW w:type="dxa" w:w="1020"/>
          </w:tcPr>
          <w:p>
            <w:r>
              <w:rPr>
                <w:sz w:val="18"/>
              </w:rPr>
              <w:t>—</w:t>
            </w:r>
          </w:p>
        </w:tc>
        <w:tc>
          <w:tcPr>
            <w:tcW w:type="dxa" w:w="794"/>
          </w:tcPr>
          <w:p>
            <w:r>
              <w:rPr>
                <w:sz w:val="18"/>
              </w:rPr>
              <w:t>CHF</w:t>
            </w:r>
          </w:p>
        </w:tc>
        <w:tc>
          <w:tcPr>
            <w:tcW w:type="dxa" w:w="1020"/>
          </w:tcPr>
          <w:p>
            <w:r>
              <w:rPr>
                <w:sz w:val="18"/>
              </w:rPr>
              <w:t>14'000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Dispositif d'alerte interne</w:t>
            </w:r>
          </w:p>
        </w:tc>
      </w:tr>
      <w:tr>
        <w:tc>
          <w:tcPr>
            <w:tcW w:type="dxa" w:w="567"/>
          </w:tcPr>
          <w:p>
            <w:r>
              <w:rPr>
                <w:sz w:val="18"/>
              </w:rPr>
              <w:t>19.1</w:t>
            </w:r>
          </w:p>
        </w:tc>
        <w:tc>
          <w:tcPr>
            <w:tcW w:type="dxa" w:w="2154"/>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19.2.1</w:t>
            </w:r>
          </w:p>
        </w:tc>
        <w:tc>
          <w:tcPr>
            <w:tcW w:type="dxa" w:w="2154"/>
          </w:tcPr>
          <w:p>
            <w:r>
              <w:rPr>
                <w:sz w:val="18"/>
              </w:rPr>
              <w:t>Indiquer le nombre d'alertes internes enregistrées durant la période de reporting et décrire les mesures prises pour traiter les cas confirmés.</w:t>
            </w:r>
          </w:p>
        </w:tc>
        <w:tc>
          <w:tcPr>
            <w:tcW w:type="dxa" w:w="1020"/>
          </w:tcPr>
          <w:p>
            <w:r>
              <w:rPr>
                <w:sz w:val="18"/>
              </w:rPr>
              <w:t>—</w:t>
            </w:r>
          </w:p>
        </w:tc>
        <w:tc>
          <w:tcPr>
            <w:tcW w:type="dxa" w:w="794"/>
          </w:tcPr>
          <w:p>
            <w:r>
              <w:rPr>
                <w:sz w:val="18"/>
              </w:rPr>
              <w:t>cas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19.2.2</w:t>
            </w:r>
          </w:p>
        </w:tc>
        <w:tc>
          <w:tcPr>
            <w:tcW w:type="dxa" w:w="2154"/>
          </w:tcPr>
          <w:p>
            <w:r>
              <w:rPr>
                <w:sz w:val="18"/>
              </w:rPr>
              <w:t>Indiquer le nombre d'alertes externes enregistrées durant la période de reporting et décrire les mesures prises pour traiter les cas confirmés.</w:t>
            </w:r>
          </w:p>
        </w:tc>
        <w:tc>
          <w:tcPr>
            <w:tcW w:type="dxa" w:w="1020"/>
          </w:tcPr>
          <w:p>
            <w:r>
              <w:rPr>
                <w:sz w:val="18"/>
              </w:rPr>
              <w:t>—</w:t>
            </w:r>
          </w:p>
        </w:tc>
        <w:tc>
          <w:tcPr>
            <w:tcW w:type="dxa" w:w="794"/>
          </w:tcPr>
          <w:p>
            <w:r>
              <w:rPr>
                <w:sz w:val="18"/>
              </w:rPr>
              <w:t>cas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19.2</w:t>
            </w:r>
          </w:p>
        </w:tc>
        <w:tc>
          <w:tcPr>
            <w:tcW w:type="dxa" w:w="2154"/>
          </w:tcPr>
          <w:p>
            <w:r>
              <w:rPr>
                <w:sz w:val="18"/>
              </w:rPr>
              <w:t>Mesures prises pour traiter les cas confirmés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Fournisseurs</w:t>
            </w:r>
          </w:p>
        </w:tc>
      </w:tr>
      <w:tr>
        <w:tc>
          <w:tcPr>
            <w:tcW w:type="dxa" w:w="567"/>
          </w:tcPr>
          <w:p>
            <w:r>
              <w:rPr>
                <w:sz w:val="18"/>
              </w:rPr>
              <w:t>20.1</w:t>
            </w:r>
          </w:p>
        </w:tc>
        <w:tc>
          <w:tcPr>
            <w:tcW w:type="dxa" w:w="2154"/>
          </w:tcPr>
          <w:p>
            <w:r>
              <w:rPr>
                <w:sz w:val="18"/>
              </w:rPr>
              <w:t>Décrire la méthode et les critères utilisés pour sélectionner et évaluer les fournisseurs (ex. questionnaires, audits, certifications externes ; critères : RSE, qualité, prix, localisation, etc.).</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20.2</w:t>
            </w:r>
          </w:p>
        </w:tc>
        <w:tc>
          <w:tcPr>
            <w:tcW w:type="dxa" w:w="2154"/>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20.2.2</w:t>
            </w:r>
          </w:p>
        </w:tc>
        <w:tc>
          <w:tcPr>
            <w:tcW w:type="dxa" w:w="2154"/>
          </w:tcPr>
          <w:p>
            <w:r>
              <w:rPr>
                <w:sz w:val="18"/>
              </w:rPr>
              <w:t>Nombre de fournisseurs présentant un risque éthique de niveau élevé.</w:t>
            </w:r>
          </w:p>
        </w:tc>
        <w:tc>
          <w:tcPr>
            <w:tcW w:type="dxa" w:w="1020"/>
          </w:tcPr>
          <w:p>
            <w:r>
              <w:rPr>
                <w:sz w:val="18"/>
              </w:rPr>
              <w:t>—</w:t>
            </w:r>
          </w:p>
        </w:tc>
        <w:tc>
          <w:tcPr>
            <w:tcW w:type="dxa" w:w="794"/>
          </w:tcPr>
          <w:p>
            <w:r>
              <w:rPr>
                <w:sz w:val="18"/>
              </w:rPr>
              <w:t>fourn.</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20.3.1</w:t>
            </w:r>
          </w:p>
        </w:tc>
        <w:tc>
          <w:tcPr>
            <w:tcW w:type="dxa" w:w="2154"/>
          </w:tcPr>
          <w:p>
            <w:r>
              <w:rPr>
                <w:sz w:val="18"/>
              </w:rPr>
              <w:t>Montant des achats réalisés auprès de fournisseurs locaux (régionaux ou nationaux).</w:t>
            </w:r>
          </w:p>
        </w:tc>
        <w:tc>
          <w:tcPr>
            <w:tcW w:type="dxa" w:w="1020"/>
          </w:tcPr>
          <w:p>
            <w:r>
              <w:rPr>
                <w:sz w:val="18"/>
              </w:rPr>
              <w:t>—</w:t>
            </w:r>
          </w:p>
        </w:tc>
        <w:tc>
          <w:tcPr>
            <w:tcW w:type="dxa" w:w="794"/>
          </w:tcPr>
          <w:p>
            <w:r>
              <w:rPr>
                <w:sz w:val="18"/>
              </w:rPr>
              <w:t>CHF</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20.3.2</w:t>
            </w:r>
          </w:p>
        </w:tc>
        <w:tc>
          <w:tcPr>
            <w:tcW w:type="dxa" w:w="2154"/>
          </w:tcPr>
          <w:p>
            <w:r>
              <w:rPr>
                <w:sz w:val="18"/>
              </w:rPr>
              <w:t>Montant total des achats.</w:t>
            </w:r>
          </w:p>
        </w:tc>
        <w:tc>
          <w:tcPr>
            <w:tcW w:type="dxa" w:w="1020"/>
          </w:tcPr>
          <w:p>
            <w:r>
              <w:rPr>
                <w:sz w:val="18"/>
              </w:rPr>
              <w:t>—</w:t>
            </w:r>
          </w:p>
        </w:tc>
        <w:tc>
          <w:tcPr>
            <w:tcW w:type="dxa" w:w="794"/>
          </w:tcPr>
          <w:p>
            <w:r>
              <w:rPr>
                <w:sz w:val="18"/>
              </w:rPr>
              <w:t>CHF</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20.3</w:t>
            </w:r>
          </w:p>
        </w:tc>
        <w:tc>
          <w:tcPr>
            <w:tcW w:type="dxa" w:w="2154"/>
          </w:tcPr>
          <w:p>
            <w:r>
              <w:rPr>
                <w:sz w:val="18"/>
              </w:rPr>
              <w:t>Calcul – Part (%) des achats réalisés auprès de fournisseurs locaux</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Communautés locales</w:t>
            </w:r>
          </w:p>
        </w:tc>
      </w:tr>
      <w:tr>
        <w:tc>
          <w:tcPr>
            <w:tcW w:type="dxa" w:w="567"/>
          </w:tcPr>
          <w:p>
            <w:r>
              <w:rPr>
                <w:sz w:val="18"/>
              </w:rPr>
              <w:t>21.1.1</w:t>
            </w:r>
          </w:p>
        </w:tc>
        <w:tc>
          <w:tcPr>
            <w:tcW w:type="dxa" w:w="2154"/>
          </w:tcPr>
          <w:p>
            <w:r>
              <w:rPr>
                <w:sz w:val="18"/>
              </w:rPr>
              <w:t>Nombre de cas d'impacts négatifs identifiés sur les communautés locales (sites propres)</w:t>
            </w:r>
          </w:p>
        </w:tc>
        <w:tc>
          <w:tcPr>
            <w:tcW w:type="dxa" w:w="1020"/>
          </w:tcPr>
          <w:p>
            <w:r>
              <w:rPr>
                <w:sz w:val="18"/>
              </w:rPr>
              <w:t>—</w:t>
            </w:r>
          </w:p>
        </w:tc>
        <w:tc>
          <w:tcPr>
            <w:tcW w:type="dxa" w:w="794"/>
          </w:tcPr>
          <w:p>
            <w:r>
              <w:rPr>
                <w:sz w:val="18"/>
              </w:rPr>
              <w:t>cas</w:t>
            </w:r>
          </w:p>
        </w:tc>
        <w:tc>
          <w:tcPr>
            <w:tcW w:type="dxa" w:w="1020"/>
          </w:tcPr>
          <w:p>
            <w:r>
              <w:rPr>
                <w:sz w:val="18"/>
              </w:rPr>
              <w:t>1 cas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21.1.2</w:t>
            </w:r>
          </w:p>
        </w:tc>
        <w:tc>
          <w:tcPr>
            <w:tcW w:type="dxa" w:w="2154"/>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020"/>
          </w:tcPr>
          <w:p>
            <w:r>
              <w:rPr>
                <w:sz w:val="18"/>
              </w:rPr>
              <w:t>—</w:t>
            </w:r>
          </w:p>
        </w:tc>
        <w:tc>
          <w:tcPr>
            <w:tcW w:type="dxa" w:w="794"/>
          </w:tcPr>
          <w:p>
            <w:r>
              <w:rPr>
                <w:sz w:val="18"/>
              </w:rPr>
              <w:t>projets</w:t>
            </w:r>
          </w:p>
        </w:tc>
        <w:tc>
          <w:tcPr>
            <w:tcW w:type="dxa" w:w="1020"/>
          </w:tcPr>
          <w:p>
            <w:r>
              <w:rPr>
                <w:sz w:val="18"/>
              </w:rPr>
              <w:t>1 projets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21.1.3</w:t>
            </w:r>
          </w:p>
        </w:tc>
        <w:tc>
          <w:tcPr>
            <w:tcW w:type="dxa" w:w="2154"/>
          </w:tcPr>
          <w:p>
            <w:r>
              <w:rPr>
                <w:sz w:val="18"/>
              </w:rPr>
              <w:t>Indiquer le nombre de projets ou activités ayant fait l'objet d'une analyse d'impact sur les communautés et décrire les mesures mises en œuvre pour réduire les nuisances.</w:t>
            </w:r>
          </w:p>
        </w:tc>
        <w:tc>
          <w:tcPr>
            <w:tcW w:type="dxa" w:w="1020"/>
          </w:tcPr>
          <w:p>
            <w:r>
              <w:rPr>
                <w:sz w:val="18"/>
              </w:rPr>
              <w:t>—</w:t>
            </w:r>
          </w:p>
        </w:tc>
        <w:tc>
          <w:tcPr>
            <w:tcW w:type="dxa" w:w="794"/>
          </w:tcPr>
          <w:p>
            <w:r>
              <w:rPr>
                <w:sz w:val="18"/>
              </w:rPr>
              <w:t>projets</w:t>
            </w:r>
          </w:p>
        </w:tc>
        <w:tc>
          <w:tcPr>
            <w:tcW w:type="dxa" w:w="1020"/>
          </w:tcPr>
          <w:p>
            <w:r>
              <w:rPr>
                <w:sz w:val="18"/>
              </w:rPr>
              <w:t>2 projets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21.2.1</w:t>
            </w:r>
          </w:p>
        </w:tc>
        <w:tc>
          <w:tcPr>
            <w:tcW w:type="dxa" w:w="2154"/>
          </w:tcPr>
          <w:p>
            <w:r>
              <w:rPr>
                <w:sz w:val="18"/>
              </w:rPr>
              <w:t>Nombre total de projets ou activités significatifs sur la période.</w:t>
            </w:r>
          </w:p>
        </w:tc>
        <w:tc>
          <w:tcPr>
            <w:tcW w:type="dxa" w:w="1020"/>
          </w:tcPr>
          <w:p>
            <w:r>
              <w:rPr>
                <w:sz w:val="18"/>
              </w:rPr>
              <w:t>—</w:t>
            </w:r>
          </w:p>
        </w:tc>
        <w:tc>
          <w:tcPr>
            <w:tcW w:type="dxa" w:w="794"/>
          </w:tcPr>
          <w:p>
            <w:r>
              <w:rPr>
                <w:sz w:val="18"/>
              </w:rPr>
              <w:t>projets</w:t>
            </w:r>
          </w:p>
        </w:tc>
        <w:tc>
          <w:tcPr>
            <w:tcW w:type="dxa" w:w="1020"/>
          </w:tcPr>
          <w:p>
            <w:r>
              <w:rPr>
                <w:sz w:val="18"/>
              </w:rPr>
              <w:t>2 projets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w:t>
            </w:r>
          </w:p>
        </w:tc>
        <w:tc>
          <w:tcPr>
            <w:tcW w:type="dxa" w:w="2154"/>
          </w:tcPr>
          <w:p>
            <w:r>
              <w:rPr>
                <w:sz w:val="18"/>
              </w:rPr>
              <w:t>Calcul – Part (%) des projets ayant fait l'objet d'une analyse d'impact</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21.1.4</w:t>
            </w:r>
          </w:p>
        </w:tc>
        <w:tc>
          <w:tcPr>
            <w:tcW w:type="dxa" w:w="2154"/>
          </w:tcPr>
          <w:p>
            <w:r>
              <w:rPr>
                <w:sz w:val="18"/>
              </w:rPr>
              <w:t>Decrivez les mesures mises en œuvre pour réduire les nuisances (sites propres) - description</w:t>
            </w:r>
          </w:p>
        </w:tc>
        <w:tc>
          <w:tcPr>
            <w:tcW w:type="dxa" w:w="1020"/>
          </w:tcPr>
          <w:p>
            <w:r>
              <w:rPr>
                <w:sz w:val="18"/>
              </w:rPr>
              <w:t>1</w:t>
            </w:r>
          </w:p>
        </w:tc>
        <w:tc>
          <w:tcPr>
            <w:tcW w:type="dxa" w:w="794"/>
          </w:tcPr>
          <w:p>
            <w:r>
              <w:rPr>
                <w:sz w:val="18"/>
              </w:rPr>
            </w:r>
          </w:p>
        </w:tc>
        <w:tc>
          <w:tcPr>
            <w:tcW w:type="dxa" w:w="1020"/>
          </w:tcPr>
          <w:p>
            <w:r>
              <w:rPr>
                <w:sz w:val="18"/>
              </w:rPr>
              <w:t>1</w:t>
            </w:r>
          </w:p>
        </w:tc>
        <w:tc>
          <w:tcPr>
            <w:tcW w:type="dxa" w:w="567"/>
          </w:tcPr>
          <w:p>
            <w:pPr>
              <w:jc w:val="center"/>
            </w:pPr>
            <w:r>
              <w:rPr>
                <w:sz w:val="18"/>
              </w:rPr>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21.2</w:t>
            </w:r>
          </w:p>
        </w:tc>
        <w:tc>
          <w:tcPr>
            <w:tcW w:type="dxa" w:w="2154"/>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567"/>
        <w:gridCol w:w="2155"/>
        <w:gridCol w:w="1021"/>
        <w:gridCol w:w="794"/>
        <w:gridCol w:w="1021"/>
        <w:gridCol w:w="567"/>
        <w:gridCol w:w="680"/>
        <w:gridCol w:w="850"/>
        <w:gridCol w:w="1418"/>
      </w:tblGrid>
      <w:tr>
        <w:tc>
          <w:tcPr>
            <w:tcW w:type="dxa" w:w="567"/>
            <w:shd w:val="clear" w:color="auto" w:fill="1F4E78"/>
            <w:vAlign w:val="center"/>
          </w:tcPr>
          <w:p>
            <w:r/>
            <w:r>
              <w:rPr>
                <w:b/>
                <w:color w:val="FFFFFF"/>
                <w:sz w:val="18"/>
              </w:rPr>
              <w:t>ID</w:t>
            </w:r>
          </w:p>
        </w:tc>
        <w:tc>
          <w:tcPr>
            <w:tcW w:type="dxa" w:w="2154"/>
            <w:shd w:val="clear" w:color="auto" w:fill="1F4E78"/>
            <w:vAlign w:val="center"/>
          </w:tcPr>
          <w:p>
            <w:r/>
            <w:r>
              <w:rPr>
                <w:b/>
                <w:color w:val="FFFFFF"/>
                <w:sz w:val="18"/>
              </w:rPr>
              <w:t>Indicateur</w:t>
            </w:r>
          </w:p>
        </w:tc>
        <w:tc>
          <w:tcPr>
            <w:tcW w:type="dxa" w:w="1020"/>
            <w:shd w:val="clear" w:color="auto" w:fill="1F4E78"/>
            <w:vAlign w:val="center"/>
          </w:tcPr>
          <w:p>
            <w:r/>
            <w:r>
              <w:rPr>
                <w:b/>
                <w:color w:val="FFFFFF"/>
                <w:sz w:val="18"/>
              </w:rPr>
              <w:t>Valeur 2025</w:t>
            </w:r>
          </w:p>
        </w:tc>
        <w:tc>
          <w:tcPr>
            <w:tcW w:type="dxa" w:w="794"/>
            <w:shd w:val="clear" w:color="auto" w:fill="1F4E78"/>
            <w:vAlign w:val="center"/>
          </w:tcPr>
          <w:p>
            <w:r/>
            <w:r>
              <w:rPr>
                <w:b/>
                <w:color w:val="FFFFFF"/>
                <w:sz w:val="18"/>
              </w:rPr>
              <w:t>Unité</w:t>
            </w:r>
          </w:p>
        </w:tc>
        <w:tc>
          <w:tcPr>
            <w:tcW w:type="dxa" w:w="1020"/>
            <w:shd w:val="clear" w:color="auto" w:fill="1F4E78"/>
            <w:vAlign w:val="center"/>
          </w:tcPr>
          <w:p>
            <w:r/>
            <w:r>
              <w:rPr>
                <w:b/>
                <w:color w:val="FFFFFF"/>
                <w:sz w:val="18"/>
              </w:rPr>
              <w:t>Valeur 2024</w:t>
            </w:r>
          </w:p>
        </w:tc>
        <w:tc>
          <w:tcPr>
            <w:tcW w:type="dxa" w:w="567"/>
            <w:shd w:val="clear" w:color="auto" w:fill="1F4E78"/>
            <w:vAlign w:val="center"/>
          </w:tcPr>
          <w:p>
            <w:r/>
            <w:r>
              <w:rPr>
                <w:b/>
                <w:color w:val="FFFFFF"/>
                <w:sz w:val="18"/>
              </w:rPr>
              <w:t>Tend.</w:t>
            </w:r>
          </w:p>
        </w:tc>
        <w:tc>
          <w:tcPr>
            <w:tcW w:type="dxa" w:w="680"/>
            <w:shd w:val="clear" w:color="auto" w:fill="1F4E78"/>
            <w:vAlign w:val="center"/>
          </w:tcPr>
          <w:p>
            <w:r/>
            <w:r>
              <w:rPr>
                <w:b/>
                <w:color w:val="FFFFFF"/>
                <w:sz w:val="18"/>
              </w:rPr>
              <w:t>Δ %</w:t>
            </w:r>
          </w:p>
        </w:tc>
        <w:tc>
          <w:tcPr>
            <w:tcW w:type="dxa" w:w="850"/>
            <w:shd w:val="clear" w:color="auto" w:fill="1F4E78"/>
            <w:vAlign w:val="center"/>
          </w:tcPr>
          <w:p>
            <w:r/>
            <w:r>
              <w:rPr>
                <w:b/>
                <w:color w:val="FFFFFF"/>
                <w:sz w:val="18"/>
              </w:rPr>
              <w:t>Objectif</w:t>
            </w:r>
          </w:p>
        </w:tc>
        <w:tc>
          <w:tcPr>
            <w:tcW w:type="dxa" w:w="1417"/>
            <w:shd w:val="clear" w:color="auto" w:fill="1F4E78"/>
            <w:vAlign w:val="center"/>
          </w:tcPr>
          <w:p>
            <w:r/>
            <w:r>
              <w:rPr>
                <w:b/>
                <w:color w:val="FFFFFF"/>
                <w:sz w:val="18"/>
              </w:rPr>
              <w:t>Justification</w:t>
            </w:r>
          </w:p>
        </w:tc>
      </w:tr>
      <w:tr>
        <w:tc>
          <w:tcPr>
            <w:tcW w:type="dxa" w:w="9073"/>
            <w:gridSpan w:val="9"/>
            <w:shd w:val="clear" w:color="auto" w:fill="CFE8D4"/>
          </w:tcPr>
          <w:p>
            <w:r/>
            <w:r>
              <w:rPr>
                <w:b/>
                <w:i/>
                <w:color w:val="1F4E78"/>
                <w:sz w:val="18"/>
              </w:rPr>
              <w:t>Mobilité durable</w:t>
            </w:r>
          </w:p>
        </w:tc>
      </w:tr>
      <w:tr>
        <w:tc>
          <w:tcPr>
            <w:tcW w:type="dxa" w:w="567"/>
          </w:tcPr>
          <w:p>
            <w:r>
              <w:rPr>
                <w:sz w:val="18"/>
              </w:rPr>
              <w:t>22</w:t>
            </w:r>
          </w:p>
        </w:tc>
        <w:tc>
          <w:tcPr>
            <w:tcW w:type="dxa" w:w="2154"/>
          </w:tcPr>
          <w:p>
            <w:r>
              <w:rPr>
                <w:sz w:val="18"/>
              </w:rPr>
              <w:t>Décrire les solutions de mobilité durable proposées aux membres du personnel (ex. transports publics, mobilité douce, télétravail, covoiturage, véhicules électriques, etc.).</w:t>
            </w:r>
          </w:p>
        </w:tc>
        <w:tc>
          <w:tcPr>
            <w:tcW w:type="dxa" w:w="1020"/>
          </w:tcPr>
          <w:p>
            <w:r>
              <w:rPr>
                <w:sz w:val="18"/>
              </w:rPr>
              <w:t>Vélos gratuits, parking vélos sécurisé, douches à disposition</w:t>
            </w:r>
          </w:p>
        </w:tc>
        <w:tc>
          <w:tcPr>
            <w:tcW w:type="dxa" w:w="794"/>
          </w:tcPr>
          <w:p>
            <w:r>
              <w:rPr>
                <w:sz w:val="18"/>
              </w:rPr>
            </w:r>
          </w:p>
        </w:tc>
        <w:tc>
          <w:tcPr>
            <w:tcW w:type="dxa" w:w="1020"/>
          </w:tcPr>
          <w:p>
            <w:r>
              <w:rPr>
                <w:sz w:val="18"/>
              </w:rPr>
              <w:t>Vélos gratuits, parking vélos sécurisé, douches à disposition</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Consommation d'énergie</w:t>
            </w:r>
          </w:p>
        </w:tc>
      </w:tr>
      <w:tr>
        <w:tc>
          <w:tcPr>
            <w:tcW w:type="dxa" w:w="567"/>
          </w:tcPr>
          <w:p>
            <w:r>
              <w:rPr>
                <w:sz w:val="18"/>
              </w:rPr>
              <w:t>23.1</w:t>
            </w:r>
          </w:p>
        </w:tc>
        <w:tc>
          <w:tcPr>
            <w:tcW w:type="dxa" w:w="2154"/>
          </w:tcPr>
          <w:p>
            <w:r>
              <w:rPr>
                <w:sz w:val="18"/>
              </w:rPr>
              <w:t>Électricité achetée – renouvelable</w:t>
            </w:r>
          </w:p>
        </w:tc>
        <w:tc>
          <w:tcPr>
            <w:tcW w:type="dxa" w:w="1020"/>
          </w:tcPr>
          <w:p>
            <w:r>
              <w:rPr>
                <w:sz w:val="18"/>
              </w:rPr>
              <w:t>—</w:t>
            </w:r>
          </w:p>
        </w:tc>
        <w:tc>
          <w:tcPr>
            <w:tcW w:type="dxa" w:w="794"/>
          </w:tcPr>
          <w:p>
            <w:r>
              <w:rPr>
                <w:sz w:val="18"/>
              </w:rPr>
              <w:t>MWh</w:t>
            </w:r>
          </w:p>
        </w:tc>
        <w:tc>
          <w:tcPr>
            <w:tcW w:type="dxa" w:w="1020"/>
          </w:tcPr>
          <w:p>
            <w:r>
              <w:rPr>
                <w:sz w:val="18"/>
              </w:rPr>
              <w:t>2.00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23.2</w:t>
            </w:r>
          </w:p>
        </w:tc>
        <w:tc>
          <w:tcPr>
            <w:tcW w:type="dxa" w:w="2154"/>
          </w:tcPr>
          <w:p>
            <w:r>
              <w:rPr>
                <w:sz w:val="18"/>
              </w:rPr>
              <w:t>- Électricité achetée – non renouvelable</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23.3</w:t>
            </w:r>
          </w:p>
        </w:tc>
        <w:tc>
          <w:tcPr>
            <w:tcW w:type="dxa" w:w="2154"/>
          </w:tcPr>
          <w:p>
            <w:r>
              <w:rPr>
                <w:sz w:val="18"/>
              </w:rPr>
              <w:t>- Électricité autoproduite – renouvelable</w:t>
            </w:r>
          </w:p>
        </w:tc>
        <w:tc>
          <w:tcPr>
            <w:tcW w:type="dxa" w:w="1020"/>
          </w:tcPr>
          <w:p>
            <w:r>
              <w:rPr>
                <w:sz w:val="18"/>
              </w:rPr>
              <w:t>—</w:t>
            </w:r>
          </w:p>
        </w:tc>
        <w:tc>
          <w:tcPr>
            <w:tcW w:type="dxa" w:w="794"/>
          </w:tcPr>
          <w:p>
            <w:r>
              <w:rPr>
                <w:sz w:val="18"/>
              </w:rPr>
              <w:t>MWh</w:t>
            </w:r>
          </w:p>
        </w:tc>
        <w:tc>
          <w:tcPr>
            <w:tcW w:type="dxa" w:w="1020"/>
          </w:tcPr>
          <w:p>
            <w:r>
              <w:rPr>
                <w:sz w:val="18"/>
              </w:rPr>
              <w:t>1.00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23.4</w:t>
            </w:r>
          </w:p>
        </w:tc>
        <w:tc>
          <w:tcPr>
            <w:tcW w:type="dxa" w:w="2154"/>
          </w:tcPr>
          <w:p>
            <w:r>
              <w:rPr>
                <w:sz w:val="18"/>
              </w:rPr>
              <w:t>- Électricité autoproduite – non renouvelable</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23.5</w:t>
            </w:r>
          </w:p>
        </w:tc>
        <w:tc>
          <w:tcPr>
            <w:tcW w:type="dxa" w:w="2154"/>
          </w:tcPr>
          <w:p>
            <w:r>
              <w:rPr>
                <w:sz w:val="18"/>
              </w:rPr>
              <w:t>- Énergie produite sur site – renouvelable</w:t>
            </w:r>
          </w:p>
        </w:tc>
        <w:tc>
          <w:tcPr>
            <w:tcW w:type="dxa" w:w="1020"/>
          </w:tcPr>
          <w:p>
            <w:r>
              <w:rPr>
                <w:sz w:val="18"/>
              </w:rPr>
              <w:t>—</w:t>
            </w:r>
          </w:p>
        </w:tc>
        <w:tc>
          <w:tcPr>
            <w:tcW w:type="dxa" w:w="794"/>
          </w:tcPr>
          <w:p>
            <w:r>
              <w:rPr>
                <w:sz w:val="18"/>
              </w:rPr>
              <w:t>MWh</w:t>
            </w:r>
          </w:p>
        </w:tc>
        <w:tc>
          <w:tcPr>
            <w:tcW w:type="dxa" w:w="1020"/>
          </w:tcPr>
          <w:p>
            <w:r>
              <w:rPr>
                <w:sz w:val="18"/>
              </w:rPr>
              <w:t>1.00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23.6</w:t>
            </w:r>
          </w:p>
        </w:tc>
        <w:tc>
          <w:tcPr>
            <w:tcW w:type="dxa" w:w="2154"/>
          </w:tcPr>
          <w:p>
            <w:r>
              <w:rPr>
                <w:sz w:val="18"/>
              </w:rPr>
              <w:t>- Énergie produite sur site – non renouvelable</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23.7</w:t>
            </w:r>
          </w:p>
        </w:tc>
        <w:tc>
          <w:tcPr>
            <w:tcW w:type="dxa" w:w="2154"/>
          </w:tcPr>
          <w:p>
            <w:r>
              <w:rPr>
                <w:sz w:val="18"/>
              </w:rPr>
              <w:t>- Carburants et combustibles</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23.8</w:t>
            </w:r>
          </w:p>
        </w:tc>
        <w:tc>
          <w:tcPr>
            <w:tcW w:type="dxa" w:w="2154"/>
          </w:tcPr>
          <w:p>
            <w:r>
              <w:rPr>
                <w:sz w:val="18"/>
              </w:rPr>
              <w:t>Calcul – Consommation totale d'énergie</w:t>
            </w:r>
          </w:p>
        </w:tc>
        <w:tc>
          <w:tcPr>
            <w:tcW w:type="dxa" w:w="1020"/>
          </w:tcPr>
          <w:p>
            <w:r>
              <w:rPr>
                <w:sz w:val="18"/>
              </w:rPr>
              <w:t>—</w:t>
            </w:r>
          </w:p>
        </w:tc>
        <w:tc>
          <w:tcPr>
            <w:tcW w:type="dxa" w:w="794"/>
          </w:tcPr>
          <w:p>
            <w:r>
              <w:rPr>
                <w:sz w:val="18"/>
              </w:rPr>
              <w:t>MWh</w:t>
            </w:r>
          </w:p>
        </w:tc>
        <w:tc>
          <w:tcPr>
            <w:tcW w:type="dxa" w:w="1020"/>
          </w:tcPr>
          <w:p>
            <w:r>
              <w:rPr>
                <w:sz w:val="18"/>
              </w:rPr>
              <w:t>4.00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23.9</w:t>
            </w:r>
          </w:p>
        </w:tc>
        <w:tc>
          <w:tcPr>
            <w:tcW w:type="dxa" w:w="2154"/>
          </w:tcPr>
          <w:p>
            <w:r>
              <w:rPr>
                <w:sz w:val="18"/>
              </w:rPr>
              <w:t>Calcul – Part d'énergie renouvelable consommée</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Objectifs climatiques</w:t>
            </w:r>
          </w:p>
        </w:tc>
      </w:tr>
      <w:tr>
        <w:tc>
          <w:tcPr>
            <w:tcW w:type="dxa" w:w="567"/>
          </w:tcPr>
          <w:p>
            <w:r>
              <w:rPr>
                <w:sz w:val="18"/>
              </w:rPr>
              <w:t>24.1</w:t>
            </w:r>
          </w:p>
        </w:tc>
        <w:tc>
          <w:tcPr>
            <w:tcW w:type="dxa" w:w="2154"/>
          </w:tcPr>
          <w:p>
            <w:r>
              <w:rPr>
                <w:sz w:val="18"/>
              </w:rPr>
              <w:t>Indiquer si l'organisation a défini un plan de transition visant la neutralité carbone à moyen ou long terme.</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24.2</w:t>
            </w:r>
          </w:p>
        </w:tc>
        <w:tc>
          <w:tcPr>
            <w:tcW w:type="dxa" w:w="2154"/>
          </w:tcPr>
          <w:p>
            <w:r>
              <w:rPr>
                <w:sz w:val="18"/>
              </w:rPr>
              <w:t>Année cible et valeur visée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24.3</w:t>
            </w:r>
          </w:p>
        </w:tc>
        <w:tc>
          <w:tcPr>
            <w:tcW w:type="dxa" w:w="2154"/>
          </w:tcPr>
          <w:p>
            <w:r>
              <w:rPr>
                <w:sz w:val="18"/>
              </w:rPr>
              <w:t>Année de référence et valeur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24.4</w:t>
            </w:r>
          </w:p>
        </w:tc>
        <w:tc>
          <w:tcPr>
            <w:tcW w:type="dxa" w:w="2154"/>
          </w:tcPr>
          <w:p>
            <w:r>
              <w:rPr>
                <w:sz w:val="18"/>
              </w:rPr>
              <w:t>Unités utilisées pour les objectifs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24.5</w:t>
            </w:r>
          </w:p>
        </w:tc>
        <w:tc>
          <w:tcPr>
            <w:tcW w:type="dxa" w:w="2154"/>
          </w:tcPr>
          <w:p>
            <w:r>
              <w:rPr>
                <w:sz w:val="18"/>
              </w:rPr>
              <w:t>Part des émissions couverte par l'objectif</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24.6</w:t>
            </w:r>
          </w:p>
        </w:tc>
        <w:tc>
          <w:tcPr>
            <w:tcW w:type="dxa" w:w="2154"/>
          </w:tcPr>
          <w:p>
            <w:r>
              <w:rPr>
                <w:sz w:val="18"/>
              </w:rPr>
              <w:t>Principales actions prévues pour atteindre l'objectif</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Bilan carbone</w:t>
            </w:r>
          </w:p>
        </w:tc>
      </w:tr>
      <w:tr>
        <w:tc>
          <w:tcPr>
            <w:tcW w:type="dxa" w:w="567"/>
          </w:tcPr>
          <w:p>
            <w:r>
              <w:rPr>
                <w:sz w:val="18"/>
              </w:rPr>
              <w:t>25.1</w:t>
            </w:r>
          </w:p>
        </w:tc>
        <w:tc>
          <w:tcPr>
            <w:tcW w:type="dxa" w:w="2154"/>
          </w:tcPr>
          <w:p>
            <w:r>
              <w:rPr>
                <w:sz w:val="18"/>
              </w:rPr>
              <w:t>Indiquer si un bilan carbone est réalisé. Le cas échénat, précisez:</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25.2</w:t>
            </w:r>
          </w:p>
        </w:tc>
        <w:tc>
          <w:tcPr>
            <w:tcW w:type="dxa" w:w="2154"/>
          </w:tcPr>
          <w:p>
            <w:r>
              <w:rPr>
                <w:sz w:val="18"/>
              </w:rPr>
              <w:t>- la fréquence de réalisation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25.3</w:t>
            </w:r>
          </w:p>
        </w:tc>
        <w:tc>
          <w:tcPr>
            <w:tcW w:type="dxa" w:w="2154"/>
          </w:tcPr>
          <w:p>
            <w:r>
              <w:rPr>
                <w:sz w:val="18"/>
              </w:rPr>
              <w:t>- la méthodologie utilisée (ex. GHG Protocol, ISO 14064)</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25.4</w:t>
            </w:r>
          </w:p>
        </w:tc>
        <w:tc>
          <w:tcPr>
            <w:tcW w:type="dxa" w:w="2154"/>
          </w:tcPr>
          <w:p>
            <w:r>
              <w:rPr>
                <w:sz w:val="18"/>
              </w:rPr>
              <w:t>Indiquez les émissions de gaz à effet de serre (GES) de l'organisation pour le Scopes 1 exprimées en tonnes équivalent CO₂</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25.5</w:t>
            </w:r>
          </w:p>
        </w:tc>
        <w:tc>
          <w:tcPr>
            <w:tcW w:type="dxa" w:w="2154"/>
          </w:tcPr>
          <w:p>
            <w:r>
              <w:rPr>
                <w:sz w:val="18"/>
              </w:rPr>
              <w:t>Indiquez les émissions de gaz à effet de serre (GES) de l'organisation pour les Scopes 2 exprimées en tonnes équivalent CO₂</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25.6</w:t>
            </w:r>
          </w:p>
        </w:tc>
        <w:tc>
          <w:tcPr>
            <w:tcW w:type="dxa" w:w="2154"/>
          </w:tcPr>
          <w:p>
            <w:r>
              <w:rPr>
                <w:sz w:val="18"/>
              </w:rPr>
              <w:t>Indiquez les émissions de gaz à effet de serre (GES) de l'organisation pour les Scopes 3 exprimées en tonnes équivalent CO₂</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25.7</w:t>
            </w:r>
          </w:p>
        </w:tc>
        <w:tc>
          <w:tcPr>
            <w:tcW w:type="dxa" w:w="2154"/>
          </w:tcPr>
          <w:p>
            <w:r>
              <w:rPr>
                <w:sz w:val="18"/>
              </w:rPr>
              <w:t>Calcul – Émissions totales de GES (1+2+3)</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25.8</w:t>
            </w:r>
          </w:p>
        </w:tc>
        <w:tc>
          <w:tcPr>
            <w:tcW w:type="dxa" w:w="2154"/>
          </w:tcPr>
          <w:p>
            <w:r>
              <w:rPr>
                <w:sz w:val="18"/>
              </w:rPr>
              <w:t>Calcul – Intensité carbone (tCO₂e / CHF de chiffre d'affaires)</w:t>
            </w:r>
          </w:p>
        </w:tc>
        <w:tc>
          <w:tcPr>
            <w:tcW w:type="dxa" w:w="1020"/>
          </w:tcPr>
          <w:p>
            <w:r>
              <w:rPr>
                <w:sz w:val="18"/>
              </w:rPr>
              <w:t>—</w:t>
            </w:r>
          </w:p>
        </w:tc>
        <w:tc>
          <w:tcPr>
            <w:tcW w:type="dxa" w:w="794"/>
          </w:tcPr>
          <w:p>
            <w:r>
              <w:rPr>
                <w:sz w:val="18"/>
              </w:rPr>
              <w:t>tCO₂e/CHF</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Eau</w:t>
            </w:r>
          </w:p>
        </w:tc>
      </w:tr>
      <w:tr>
        <w:tc>
          <w:tcPr>
            <w:tcW w:type="dxa" w:w="567"/>
          </w:tcPr>
          <w:p>
            <w:r>
              <w:rPr>
                <w:sz w:val="18"/>
              </w:rPr>
              <w:t>26</w:t>
            </w:r>
          </w:p>
        </w:tc>
        <w:tc>
          <w:tcPr>
            <w:tcW w:type="dxa" w:w="2154"/>
          </w:tcPr>
          <w:p>
            <w:r>
              <w:rPr>
                <w:sz w:val="18"/>
              </w:rPr>
              <w:t>Indiquer la consommation totale d'eau de l'organisation (en m³ ou milliers de litres).</w:t>
            </w:r>
          </w:p>
        </w:tc>
        <w:tc>
          <w:tcPr>
            <w:tcW w:type="dxa" w:w="1020"/>
          </w:tcPr>
          <w:p>
            <w:r>
              <w:rPr>
                <w:sz w:val="18"/>
              </w:rPr>
              <w:t>—</w:t>
            </w:r>
          </w:p>
        </w:tc>
        <w:tc>
          <w:tcPr>
            <w:tcW w:type="dxa" w:w="794"/>
          </w:tcPr>
          <w:p>
            <w:r>
              <w:rPr>
                <w:sz w:val="18"/>
              </w:rPr>
              <w:t>m³</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Biodiversité - localisation</w:t>
            </w:r>
          </w:p>
        </w:tc>
      </w:tr>
      <w:tr>
        <w:tc>
          <w:tcPr>
            <w:tcW w:type="dxa" w:w="567"/>
          </w:tcPr>
          <w:p>
            <w:r>
              <w:rPr>
                <w:sz w:val="18"/>
              </w:rPr>
              <w:t>27.1</w:t>
            </w:r>
          </w:p>
        </w:tc>
        <w:tc>
          <w:tcPr>
            <w:tcW w:type="dxa" w:w="2154"/>
          </w:tcPr>
          <w:p>
            <w:r>
              <w:rPr>
                <w:sz w:val="18"/>
              </w:rPr>
              <w:t>Sites d'interaction avec la biodiversité identifiés (voir feuille « Biodiversité »)</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27.2</w:t>
            </w:r>
          </w:p>
        </w:tc>
        <w:tc>
          <w:tcPr>
            <w:tcW w:type="dxa" w:w="2154"/>
          </w:tcPr>
          <w:p>
            <w:r>
              <w:rPr>
                <w:sz w:val="18"/>
              </w:rPr>
              <w:t>Nombre total de sites</w:t>
            </w:r>
          </w:p>
        </w:tc>
        <w:tc>
          <w:tcPr>
            <w:tcW w:type="dxa" w:w="1020"/>
          </w:tcPr>
          <w:p>
            <w:r>
              <w:rPr>
                <w:sz w:val="18"/>
              </w:rPr>
              <w:t>1 sites</w:t>
            </w:r>
          </w:p>
        </w:tc>
        <w:tc>
          <w:tcPr>
            <w:tcW w:type="dxa" w:w="794"/>
          </w:tcPr>
          <w:p>
            <w:r>
              <w:rPr>
                <w:sz w:val="18"/>
              </w:rPr>
              <w:t>sites</w:t>
            </w:r>
          </w:p>
        </w:tc>
        <w:tc>
          <w:tcPr>
            <w:tcW w:type="dxa" w:w="1020"/>
          </w:tcPr>
          <w:p>
            <w:r>
              <w:rPr>
                <w:sz w:val="18"/>
              </w:rPr>
              <w:t>1 sites</w:t>
            </w:r>
          </w:p>
        </w:tc>
        <w:tc>
          <w:tcPr>
            <w:tcW w:type="dxa" w:w="567"/>
          </w:tcPr>
          <w:p>
            <w:pPr>
              <w:jc w:val="center"/>
            </w:pPr>
            <w:r>
              <w:rPr>
                <w:sz w:val="18"/>
              </w:rPr>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27.3</w:t>
            </w:r>
          </w:p>
        </w:tc>
        <w:tc>
          <w:tcPr>
            <w:tcW w:type="dxa" w:w="2154"/>
          </w:tcPr>
          <w:p>
            <w:r>
              <w:rPr>
                <w:sz w:val="18"/>
              </w:rPr>
              <w:t>Nombre de sites en zone sensible</w:t>
            </w:r>
          </w:p>
        </w:tc>
        <w:tc>
          <w:tcPr>
            <w:tcW w:type="dxa" w:w="1020"/>
          </w:tcPr>
          <w:p>
            <w:r>
              <w:rPr>
                <w:sz w:val="18"/>
              </w:rPr>
              <w:t>1 sites</w:t>
            </w:r>
          </w:p>
        </w:tc>
        <w:tc>
          <w:tcPr>
            <w:tcW w:type="dxa" w:w="794"/>
          </w:tcPr>
          <w:p>
            <w:r>
              <w:rPr>
                <w:sz w:val="18"/>
              </w:rPr>
              <w:t>sites</w:t>
            </w:r>
          </w:p>
        </w:tc>
        <w:tc>
          <w:tcPr>
            <w:tcW w:type="dxa" w:w="1020"/>
          </w:tcPr>
          <w:p>
            <w:r>
              <w:rPr>
                <w:sz w:val="18"/>
              </w:rPr>
              <w:t>1 sites</w:t>
            </w:r>
          </w:p>
        </w:tc>
        <w:tc>
          <w:tcPr>
            <w:tcW w:type="dxa" w:w="567"/>
          </w:tcPr>
          <w:p>
            <w:pPr>
              <w:jc w:val="center"/>
            </w:pPr>
            <w:r>
              <w:rPr>
                <w:sz w:val="18"/>
              </w:rPr>
            </w:r>
            <w:r>
              <w:rPr>
                <w:b/>
                <w:color w:val="555560"/>
                <w:sz w:val="18"/>
              </w:rPr>
              <w:t>→</w:t>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27.4</w:t>
            </w:r>
          </w:p>
        </w:tc>
        <w:tc>
          <w:tcPr>
            <w:tcW w:type="dxa" w:w="2154"/>
          </w:tcPr>
          <w:p>
            <w:r>
              <w:rPr>
                <w:sz w:val="18"/>
              </w:rPr>
              <w:t>Superficie totale</w:t>
            </w:r>
          </w:p>
        </w:tc>
        <w:tc>
          <w:tcPr>
            <w:tcW w:type="dxa" w:w="1020"/>
          </w:tcPr>
          <w:p>
            <w:r>
              <w:rPr>
                <w:sz w:val="18"/>
              </w:rPr>
              <w:t>1.00 ha</w:t>
            </w:r>
          </w:p>
        </w:tc>
        <w:tc>
          <w:tcPr>
            <w:tcW w:type="dxa" w:w="794"/>
          </w:tcPr>
          <w:p>
            <w:r>
              <w:rPr>
                <w:sz w:val="18"/>
              </w:rPr>
              <w:t>ha</w:t>
            </w:r>
          </w:p>
        </w:tc>
        <w:tc>
          <w:tcPr>
            <w:tcW w:type="dxa" w:w="1020"/>
          </w:tcPr>
          <w:p>
            <w:r>
              <w:rPr>
                <w:sz w:val="18"/>
              </w:rPr>
              <w:t>1.00 ha</w:t>
            </w:r>
          </w:p>
        </w:tc>
        <w:tc>
          <w:tcPr>
            <w:tcW w:type="dxa" w:w="567"/>
          </w:tcPr>
          <w:p>
            <w:pPr>
              <w:jc w:val="center"/>
            </w:pPr>
            <w:r>
              <w:rPr>
                <w:sz w:val="18"/>
              </w:rPr>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27.5</w:t>
            </w:r>
          </w:p>
        </w:tc>
        <w:tc>
          <w:tcPr>
            <w:tcW w:type="dxa" w:w="2154"/>
          </w:tcPr>
          <w:p>
            <w:r>
              <w:rPr>
                <w:sz w:val="18"/>
              </w:rPr>
              <w:t>Superficie en zone sensible</w:t>
            </w:r>
          </w:p>
        </w:tc>
        <w:tc>
          <w:tcPr>
            <w:tcW w:type="dxa" w:w="1020"/>
          </w:tcPr>
          <w:p>
            <w:r>
              <w:rPr>
                <w:sz w:val="18"/>
              </w:rPr>
              <w:t>1.00 ha</w:t>
            </w:r>
          </w:p>
        </w:tc>
        <w:tc>
          <w:tcPr>
            <w:tcW w:type="dxa" w:w="794"/>
          </w:tcPr>
          <w:p>
            <w:r>
              <w:rPr>
                <w:sz w:val="18"/>
              </w:rPr>
              <w:t>ha</w:t>
            </w:r>
          </w:p>
        </w:tc>
        <w:tc>
          <w:tcPr>
            <w:tcW w:type="dxa" w:w="1020"/>
          </w:tcPr>
          <w:p>
            <w:r>
              <w:rPr>
                <w:sz w:val="18"/>
              </w:rPr>
              <w:t>1.00 ha</w:t>
            </w:r>
          </w:p>
        </w:tc>
        <w:tc>
          <w:tcPr>
            <w:tcW w:type="dxa" w:w="567"/>
          </w:tcPr>
          <w:p>
            <w:pPr>
              <w:jc w:val="center"/>
            </w:pPr>
            <w:r>
              <w:rPr>
                <w:sz w:val="18"/>
              </w:rPr>
            </w:r>
            <w:r>
              <w:rPr>
                <w:b/>
                <w:color w:val="555560"/>
                <w:sz w:val="18"/>
              </w:rPr>
              <w:t>→</w:t>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27.6</w:t>
            </w:r>
          </w:p>
        </w:tc>
        <w:tc>
          <w:tcPr>
            <w:tcW w:type="dxa" w:w="2154"/>
          </w:tcPr>
          <w:p>
            <w:r>
              <w:rPr>
                <w:sz w:val="18"/>
              </w:rPr>
              <w:t>Calcul – Part (%) de superficie en zone sensible</w:t>
            </w:r>
          </w:p>
        </w:tc>
        <w:tc>
          <w:tcPr>
            <w:tcW w:type="dxa" w:w="1020"/>
          </w:tcPr>
          <w:p>
            <w:r>
              <w:rPr>
                <w:sz w:val="18"/>
              </w:rPr>
              <w:t>100.0%</w:t>
            </w:r>
          </w:p>
        </w:tc>
        <w:tc>
          <w:tcPr>
            <w:tcW w:type="dxa" w:w="794"/>
          </w:tcPr>
          <w:p>
            <w:r>
              <w:rPr>
                <w:sz w:val="18"/>
              </w:rPr>
              <w:t>%</w:t>
            </w:r>
          </w:p>
        </w:tc>
        <w:tc>
          <w:tcPr>
            <w:tcW w:type="dxa" w:w="1020"/>
          </w:tcPr>
          <w:p>
            <w:r>
              <w:rPr>
                <w:sz w:val="18"/>
              </w:rPr>
              <w:t>100.0%</w:t>
            </w:r>
          </w:p>
        </w:tc>
        <w:tc>
          <w:tcPr>
            <w:tcW w:type="dxa" w:w="567"/>
          </w:tcPr>
          <w:p>
            <w:pPr>
              <w:jc w:val="center"/>
            </w:pPr>
            <w:r>
              <w:rPr>
                <w:sz w:val="18"/>
              </w:rPr>
            </w:r>
            <w:r>
              <w:rPr>
                <w:b/>
                <w:color w:val="555560"/>
                <w:sz w:val="18"/>
              </w:rPr>
              <w:t>→</w:t>
            </w:r>
          </w:p>
        </w:tc>
        <w:tc>
          <w:tcPr>
            <w:tcW w:type="dxa" w:w="680"/>
          </w:tcPr>
          <w:p>
            <w:r>
              <w:rPr>
                <w:sz w:val="18"/>
              </w:rPr>
              <w:t>+0.0%</w:t>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Biodiversité - gestion</w:t>
            </w:r>
          </w:p>
        </w:tc>
      </w:tr>
      <w:tr>
        <w:tc>
          <w:tcPr>
            <w:tcW w:type="dxa" w:w="567"/>
          </w:tcPr>
          <w:p>
            <w:r>
              <w:rPr>
                <w:sz w:val="18"/>
              </w:rPr>
              <w:t>28</w:t>
            </w:r>
          </w:p>
        </w:tc>
        <w:tc>
          <w:tcPr>
            <w:tcW w:type="dxa" w:w="2154"/>
          </w:tcPr>
          <w:p>
            <w:r>
              <w:rPr>
                <w:sz w:val="18"/>
              </w:rPr>
              <w:t>Décrire les politiques et mesures mises en place pour réduire les pressions sur la biodiversité, restaurer les écosystèmes dégradés et limiter les impacts négatifs identifiés.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Déchets</w:t>
            </w:r>
          </w:p>
        </w:tc>
      </w:tr>
      <w:tr>
        <w:tc>
          <w:tcPr>
            <w:tcW w:type="dxa" w:w="567"/>
          </w:tcPr>
          <w:p>
            <w:r>
              <w:rPr>
                <w:sz w:val="18"/>
              </w:rPr>
              <w:t>29.1</w:t>
            </w:r>
          </w:p>
        </w:tc>
        <w:tc>
          <w:tcPr>
            <w:tcW w:type="dxa" w:w="2154"/>
          </w:tcPr>
          <w:p>
            <w:r>
              <w:rPr>
                <w:sz w:val="18"/>
              </w:rPr>
              <w:t>Indiquer si l'organisation a mis en place un processus de gestion des déchets ou des actions concrètes en place.</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29.2.1</w:t>
            </w:r>
          </w:p>
        </w:tc>
        <w:tc>
          <w:tcPr>
            <w:tcW w:type="dxa" w:w="2154"/>
          </w:tcPr>
          <w:p>
            <w:r>
              <w:rPr>
                <w:sz w:val="18"/>
              </w:rPr>
              <w:t>Déchets dangereux générés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29.2.2</w:t>
            </w:r>
          </w:p>
        </w:tc>
        <w:tc>
          <w:tcPr>
            <w:tcW w:type="dxa" w:w="2154"/>
          </w:tcPr>
          <w:p>
            <w:r>
              <w:rPr>
                <w:sz w:val="18"/>
              </w:rPr>
              <w:t>Déchets non dangereux générés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29.2.3</w:t>
            </w:r>
          </w:p>
        </w:tc>
        <w:tc>
          <w:tcPr>
            <w:tcW w:type="dxa" w:w="2154"/>
          </w:tcPr>
          <w:p>
            <w:r>
              <w:rPr>
                <w:sz w:val="18"/>
              </w:rPr>
              <w:t>Déchets dangereux valorisés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29.2.4</w:t>
            </w:r>
          </w:p>
        </w:tc>
        <w:tc>
          <w:tcPr>
            <w:tcW w:type="dxa" w:w="2154"/>
          </w:tcPr>
          <w:p>
            <w:r>
              <w:rPr>
                <w:sz w:val="18"/>
              </w:rPr>
              <w:t>Déchets non dangereux valorisés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29.2.5</w:t>
            </w:r>
          </w:p>
        </w:tc>
        <w:tc>
          <w:tcPr>
            <w:tcW w:type="dxa" w:w="2154"/>
          </w:tcPr>
          <w:p>
            <w:r>
              <w:rPr>
                <w:sz w:val="18"/>
              </w:rPr>
              <w:t>Calcul – Taux de valorisation des déchets dangereux</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29.2.6</w:t>
            </w:r>
          </w:p>
        </w:tc>
        <w:tc>
          <w:tcPr>
            <w:tcW w:type="dxa" w:w="2154"/>
          </w:tcPr>
          <w:p>
            <w:r>
              <w:rPr>
                <w:sz w:val="18"/>
              </w:rPr>
              <w:t>Calcul – Taux de valorisation des déchets non dangereux</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w:t>
            </w:r>
          </w:p>
        </w:tc>
        <w:tc>
          <w:tcPr>
            <w:tcW w:type="dxa" w:w="2154"/>
          </w:tcPr>
          <w:p>
            <w:r>
              <w:rPr>
                <w:sz w:val="18"/>
              </w:rPr>
              <w:t>Calcul – Part globale (%) des déchets valorisés</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Risques climatiques</w:t>
            </w:r>
          </w:p>
        </w:tc>
      </w:tr>
      <w:tr>
        <w:tc>
          <w:tcPr>
            <w:tcW w:type="dxa" w:w="567"/>
          </w:tcPr>
          <w:p>
            <w:r>
              <w:rPr>
                <w:sz w:val="18"/>
              </w:rPr>
              <w:t>30.1</w:t>
            </w:r>
          </w:p>
        </w:tc>
        <w:tc>
          <w:tcPr>
            <w:tcW w:type="dxa" w:w="2154"/>
          </w:tcPr>
          <w:p>
            <w:r>
              <w:rPr>
                <w:sz w:val="18"/>
              </w:rPr>
              <w:t>Indiquer si l'organisation a identifié des aléas climatiques ou des risques de transition liés au changement climatique susceptibles d'affecter ses activités.</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30.2</w:t>
            </w:r>
          </w:p>
        </w:tc>
        <w:tc>
          <w:tcPr>
            <w:tcW w:type="dxa" w:w="2154"/>
          </w:tcPr>
          <w:p>
            <w:r>
              <w:rPr>
                <w:sz w:val="18"/>
              </w:rPr>
              <w:t>Indiquer si ces risques sont communiqués aux organes de gouvernance compétents</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30.3</w:t>
            </w:r>
          </w:p>
        </w:tc>
        <w:tc>
          <w:tcPr>
            <w:tcW w:type="dxa" w:w="2154"/>
          </w:tcPr>
          <w:p>
            <w:r>
              <w:rPr>
                <w:sz w:val="18"/>
              </w:rPr>
              <w:t>Indiquer les assurances souscrites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30.4</w:t>
            </w:r>
          </w:p>
        </w:tc>
        <w:tc>
          <w:tcPr>
            <w:tcW w:type="dxa" w:w="2154"/>
          </w:tcPr>
          <w:p>
            <w:r>
              <w:rPr>
                <w:sz w:val="18"/>
              </w:rPr>
              <w:t>Description des aléas et risques de transition (voir feuille « Risques climatiques »)</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30.5</w:t>
            </w:r>
          </w:p>
        </w:tc>
        <w:tc>
          <w:tcPr>
            <w:tcW w:type="dxa" w:w="2154"/>
          </w:tcPr>
          <w:p>
            <w:r>
              <w:rPr>
                <w:sz w:val="18"/>
              </w:rPr>
              <w:t>l'évaluation de l'exposition et de la sensibilité des actifs, activités et de la chaîne de valeur</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30.6</w:t>
            </w:r>
          </w:p>
        </w:tc>
        <w:tc>
          <w:tcPr>
            <w:tcW w:type="dxa" w:w="2154"/>
          </w:tcPr>
          <w:p>
            <w:r>
              <w:rPr>
                <w:sz w:val="18"/>
              </w:rPr>
              <w:t>Indiquer les horizons temporels associés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30.7</w:t>
            </w:r>
          </w:p>
        </w:tc>
        <w:tc>
          <w:tcPr>
            <w:tcW w:type="dxa" w:w="2154"/>
          </w:tcPr>
          <w:p>
            <w:r>
              <w:rPr>
                <w:sz w:val="18"/>
              </w:rPr>
              <w:t>Indiquer les mesures d'adaptation mises en œuvre</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30.8</w:t>
            </w:r>
          </w:p>
        </w:tc>
        <w:tc>
          <w:tcPr>
            <w:tcW w:type="dxa" w:w="2154"/>
          </w:tcPr>
          <w:p>
            <w:r>
              <w:rPr>
                <w:sz w:val="18"/>
              </w:rPr>
              <w:t>Indiquer les impacts potentiels sur la performance financière ou les opérations (court, moyen et long terme), avec une évaluation du niveau de risque (élevé, moyen, faible).</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